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6F9C1">
      <w:pPr>
        <w:pStyle w:val="6"/>
        <w:adjustRightInd w:val="0"/>
        <w:snapToGrid w:val="0"/>
        <w:spacing w:before="0" w:after="0" w:line="50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新钢中心医院安全设备运维服务要求细则</w:t>
      </w:r>
    </w:p>
    <w:p w14:paraId="0946FB0A">
      <w:pPr>
        <w:pStyle w:val="7"/>
        <w:adjustRightInd w:val="0"/>
        <w:snapToGrid w:val="0"/>
        <w:spacing w:before="0" w:after="0" w:line="500" w:lineRule="exact"/>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r>
        <w:rPr>
          <w:rFonts w:cs="宋体" w:asciiTheme="majorEastAsia" w:hAnsiTheme="majorEastAsia" w:eastAsiaTheme="majorEastAsia"/>
          <w:sz w:val="24"/>
          <w:szCs w:val="24"/>
        </w:rPr>
        <w:t>.1</w:t>
      </w:r>
      <w:r>
        <w:rPr>
          <w:rFonts w:hint="eastAsia" w:cs="宋体" w:asciiTheme="majorEastAsia" w:hAnsiTheme="majorEastAsia" w:eastAsiaTheme="majorEastAsia"/>
          <w:sz w:val="24"/>
          <w:szCs w:val="24"/>
        </w:rPr>
        <w:t>运维服务周期：1</w:t>
      </w:r>
      <w:r>
        <w:rPr>
          <w:rFonts w:cs="宋体" w:asciiTheme="majorEastAsia" w:hAnsiTheme="majorEastAsia" w:eastAsiaTheme="majorEastAsia"/>
          <w:sz w:val="24"/>
          <w:szCs w:val="24"/>
        </w:rPr>
        <w:t>2</w:t>
      </w:r>
      <w:r>
        <w:rPr>
          <w:rFonts w:hint="eastAsia" w:cs="宋体" w:asciiTheme="majorEastAsia" w:hAnsiTheme="majorEastAsia" w:eastAsiaTheme="majorEastAsia"/>
          <w:sz w:val="24"/>
          <w:szCs w:val="24"/>
        </w:rPr>
        <w:t>个月</w:t>
      </w:r>
    </w:p>
    <w:p w14:paraId="760AF7C6">
      <w:pPr>
        <w:pStyle w:val="7"/>
        <w:adjustRightInd w:val="0"/>
        <w:snapToGrid w:val="0"/>
        <w:spacing w:before="0" w:after="0" w:line="500" w:lineRule="exact"/>
        <w:rPr>
          <w:rFonts w:cs="宋体" w:asciiTheme="majorEastAsia" w:hAnsiTheme="majorEastAsia" w:eastAsiaTheme="majorEastAsia"/>
          <w:sz w:val="24"/>
          <w:szCs w:val="24"/>
        </w:rPr>
      </w:pPr>
      <w:r>
        <w:rPr>
          <w:rFonts w:cs="宋体" w:asciiTheme="majorEastAsia" w:hAnsiTheme="majorEastAsia" w:eastAsiaTheme="majorEastAsia"/>
          <w:sz w:val="24"/>
          <w:szCs w:val="24"/>
        </w:rPr>
        <w:t>1.2</w:t>
      </w:r>
      <w:r>
        <w:rPr>
          <w:rFonts w:hint="eastAsia" w:cs="宋体" w:asciiTheme="majorEastAsia" w:hAnsiTheme="majorEastAsia" w:eastAsiaTheme="majorEastAsia"/>
          <w:sz w:val="24"/>
          <w:szCs w:val="24"/>
        </w:rPr>
        <w:t>运维服务内容：</w:t>
      </w:r>
    </w:p>
    <w:tbl>
      <w:tblPr>
        <w:tblStyle w:val="15"/>
        <w:tblW w:w="7633" w:type="dxa"/>
        <w:tblInd w:w="412" w:type="dxa"/>
        <w:tblLayout w:type="autofit"/>
        <w:tblCellMar>
          <w:top w:w="0" w:type="dxa"/>
          <w:left w:w="108" w:type="dxa"/>
          <w:bottom w:w="0" w:type="dxa"/>
          <w:right w:w="108" w:type="dxa"/>
        </w:tblCellMar>
      </w:tblPr>
      <w:tblGrid>
        <w:gridCol w:w="657"/>
        <w:gridCol w:w="838"/>
        <w:gridCol w:w="1676"/>
        <w:gridCol w:w="3805"/>
        <w:gridCol w:w="657"/>
      </w:tblGrid>
      <w:tr w14:paraId="47D12EF7">
        <w:tblPrEx>
          <w:tblCellMar>
            <w:top w:w="0" w:type="dxa"/>
            <w:left w:w="108" w:type="dxa"/>
            <w:bottom w:w="0" w:type="dxa"/>
            <w:right w:w="108" w:type="dxa"/>
          </w:tblCellMar>
        </w:tblPrEx>
        <w:trPr>
          <w:trHeight w:val="239" w:hRule="atLeast"/>
        </w:trPr>
        <w:tc>
          <w:tcPr>
            <w:tcW w:w="657" w:type="dxa"/>
            <w:tcBorders>
              <w:top w:val="single" w:color="auto" w:sz="4" w:space="0"/>
              <w:left w:val="single" w:color="auto" w:sz="4" w:space="0"/>
              <w:bottom w:val="single" w:color="auto" w:sz="4" w:space="0"/>
              <w:right w:val="single" w:color="auto" w:sz="4" w:space="0"/>
            </w:tcBorders>
            <w:shd w:val="clear" w:color="000000" w:fill="99CCFF"/>
            <w:vAlign w:val="center"/>
          </w:tcPr>
          <w:p w14:paraId="550232C1">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序号</w:t>
            </w:r>
          </w:p>
        </w:tc>
        <w:tc>
          <w:tcPr>
            <w:tcW w:w="838" w:type="dxa"/>
            <w:tcBorders>
              <w:top w:val="single" w:color="auto" w:sz="4" w:space="0"/>
              <w:left w:val="nil"/>
              <w:bottom w:val="single" w:color="auto" w:sz="4" w:space="0"/>
              <w:right w:val="single" w:color="auto" w:sz="4" w:space="0"/>
            </w:tcBorders>
            <w:shd w:val="clear" w:color="000000" w:fill="99CCFF"/>
            <w:vAlign w:val="center"/>
          </w:tcPr>
          <w:p w14:paraId="2C74362A">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设备承载业务类型</w:t>
            </w:r>
          </w:p>
        </w:tc>
        <w:tc>
          <w:tcPr>
            <w:tcW w:w="1676" w:type="dxa"/>
            <w:tcBorders>
              <w:top w:val="single" w:color="auto" w:sz="4" w:space="0"/>
              <w:left w:val="nil"/>
              <w:bottom w:val="single" w:color="auto" w:sz="4" w:space="0"/>
              <w:right w:val="single" w:color="auto" w:sz="4" w:space="0"/>
            </w:tcBorders>
            <w:shd w:val="clear" w:color="000000" w:fill="99CCFF"/>
            <w:vAlign w:val="center"/>
          </w:tcPr>
          <w:p w14:paraId="68A4249D">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设备类型</w:t>
            </w:r>
          </w:p>
        </w:tc>
        <w:tc>
          <w:tcPr>
            <w:tcW w:w="3805" w:type="dxa"/>
            <w:tcBorders>
              <w:top w:val="single" w:color="auto" w:sz="4" w:space="0"/>
              <w:left w:val="nil"/>
              <w:bottom w:val="single" w:color="auto" w:sz="4" w:space="0"/>
              <w:right w:val="single" w:color="auto" w:sz="4" w:space="0"/>
            </w:tcBorders>
            <w:shd w:val="clear" w:color="000000" w:fill="99CCFF"/>
            <w:vAlign w:val="center"/>
          </w:tcPr>
          <w:p w14:paraId="60E056BE">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产品描述</w:t>
            </w:r>
          </w:p>
        </w:tc>
        <w:tc>
          <w:tcPr>
            <w:tcW w:w="657" w:type="dxa"/>
            <w:tcBorders>
              <w:top w:val="single" w:color="auto" w:sz="4" w:space="0"/>
              <w:left w:val="nil"/>
              <w:bottom w:val="single" w:color="auto" w:sz="4" w:space="0"/>
              <w:right w:val="single" w:color="auto" w:sz="4" w:space="0"/>
            </w:tcBorders>
            <w:shd w:val="clear" w:color="000000" w:fill="99CCFF"/>
            <w:vAlign w:val="center"/>
          </w:tcPr>
          <w:p w14:paraId="04FF984A">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产品数量</w:t>
            </w:r>
          </w:p>
        </w:tc>
      </w:tr>
      <w:tr w14:paraId="0D5E49B9">
        <w:tblPrEx>
          <w:tblCellMar>
            <w:top w:w="0" w:type="dxa"/>
            <w:left w:w="108" w:type="dxa"/>
            <w:bottom w:w="0" w:type="dxa"/>
            <w:right w:w="108" w:type="dxa"/>
          </w:tblCellMar>
        </w:tblPrEx>
        <w:trPr>
          <w:trHeight w:val="239" w:hRule="atLeast"/>
        </w:trPr>
        <w:tc>
          <w:tcPr>
            <w:tcW w:w="657" w:type="dxa"/>
            <w:tcBorders>
              <w:top w:val="nil"/>
              <w:left w:val="single" w:color="auto" w:sz="4" w:space="0"/>
              <w:bottom w:val="single" w:color="auto" w:sz="4" w:space="0"/>
              <w:right w:val="single" w:color="auto" w:sz="4" w:space="0"/>
            </w:tcBorders>
            <w:shd w:val="clear" w:color="auto" w:fill="auto"/>
            <w:vAlign w:val="center"/>
          </w:tcPr>
          <w:p w14:paraId="10857A2C">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w:t>
            </w:r>
          </w:p>
        </w:tc>
        <w:tc>
          <w:tcPr>
            <w:tcW w:w="838" w:type="dxa"/>
            <w:vMerge w:val="restart"/>
            <w:tcBorders>
              <w:top w:val="nil"/>
              <w:left w:val="single" w:color="auto" w:sz="4" w:space="0"/>
              <w:bottom w:val="single" w:color="000000" w:sz="4" w:space="0"/>
              <w:right w:val="single" w:color="auto" w:sz="4" w:space="0"/>
            </w:tcBorders>
            <w:shd w:val="clear" w:color="auto" w:fill="auto"/>
            <w:vAlign w:val="center"/>
          </w:tcPr>
          <w:p w14:paraId="039A9520">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网络安全设备</w:t>
            </w:r>
          </w:p>
        </w:tc>
        <w:tc>
          <w:tcPr>
            <w:tcW w:w="1676" w:type="dxa"/>
            <w:tcBorders>
              <w:top w:val="nil"/>
              <w:left w:val="nil"/>
              <w:bottom w:val="single" w:color="auto" w:sz="4" w:space="0"/>
              <w:right w:val="single" w:color="auto" w:sz="4" w:space="0"/>
            </w:tcBorders>
            <w:shd w:val="clear" w:color="auto" w:fill="auto"/>
            <w:noWrap/>
            <w:vAlign w:val="center"/>
          </w:tcPr>
          <w:p w14:paraId="299724D9">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NS-SecPath GAP2000-A</w:t>
            </w:r>
          </w:p>
        </w:tc>
        <w:tc>
          <w:tcPr>
            <w:tcW w:w="3805" w:type="dxa"/>
            <w:tcBorders>
              <w:top w:val="nil"/>
              <w:left w:val="nil"/>
              <w:bottom w:val="single" w:color="auto" w:sz="4" w:space="0"/>
              <w:right w:val="single" w:color="auto" w:sz="4" w:space="0"/>
            </w:tcBorders>
            <w:shd w:val="clear" w:color="auto" w:fill="auto"/>
            <w:vAlign w:val="center"/>
          </w:tcPr>
          <w:p w14:paraId="43AAC40A">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H3C SecPath GAP2000-A 安全隔离与信息交换系统设备</w:t>
            </w:r>
          </w:p>
        </w:tc>
        <w:tc>
          <w:tcPr>
            <w:tcW w:w="657" w:type="dxa"/>
            <w:tcBorders>
              <w:top w:val="nil"/>
              <w:left w:val="nil"/>
              <w:bottom w:val="single" w:color="auto" w:sz="4" w:space="0"/>
              <w:right w:val="single" w:color="auto" w:sz="4" w:space="0"/>
            </w:tcBorders>
            <w:shd w:val="clear" w:color="auto" w:fill="auto"/>
            <w:noWrap/>
            <w:vAlign w:val="center"/>
          </w:tcPr>
          <w:p w14:paraId="2D4B60E0">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r>
      <w:tr w14:paraId="21E2A006">
        <w:tblPrEx>
          <w:tblCellMar>
            <w:top w:w="0" w:type="dxa"/>
            <w:left w:w="108" w:type="dxa"/>
            <w:bottom w:w="0" w:type="dxa"/>
            <w:right w:w="108" w:type="dxa"/>
          </w:tblCellMar>
        </w:tblPrEx>
        <w:trPr>
          <w:trHeight w:val="239" w:hRule="atLeast"/>
        </w:trPr>
        <w:tc>
          <w:tcPr>
            <w:tcW w:w="657" w:type="dxa"/>
            <w:tcBorders>
              <w:top w:val="nil"/>
              <w:left w:val="single" w:color="auto" w:sz="4" w:space="0"/>
              <w:bottom w:val="single" w:color="auto" w:sz="4" w:space="0"/>
              <w:right w:val="single" w:color="auto" w:sz="4" w:space="0"/>
            </w:tcBorders>
            <w:shd w:val="clear" w:color="auto" w:fill="auto"/>
            <w:vAlign w:val="center"/>
          </w:tcPr>
          <w:p w14:paraId="0168E214">
            <w:pPr>
              <w:widowControl/>
              <w:jc w:val="center"/>
              <w:rPr>
                <w:rFonts w:cs="宋体" w:asciiTheme="majorEastAsia" w:hAnsiTheme="majorEastAsia" w:eastAsiaTheme="majorEastAsia"/>
                <w:color w:val="000000"/>
                <w:kern w:val="0"/>
                <w:sz w:val="24"/>
                <w:szCs w:val="24"/>
              </w:rPr>
            </w:pPr>
            <w:r>
              <w:rPr>
                <w:rFonts w:cs="宋体" w:asciiTheme="majorEastAsia" w:hAnsiTheme="majorEastAsia" w:eastAsiaTheme="majorEastAsia"/>
                <w:color w:val="000000"/>
                <w:kern w:val="0"/>
                <w:sz w:val="24"/>
                <w:szCs w:val="24"/>
              </w:rPr>
              <w:t>2</w:t>
            </w:r>
          </w:p>
        </w:tc>
        <w:tc>
          <w:tcPr>
            <w:tcW w:w="838" w:type="dxa"/>
            <w:vMerge w:val="continue"/>
            <w:tcBorders>
              <w:top w:val="nil"/>
              <w:left w:val="single" w:color="auto" w:sz="4" w:space="0"/>
              <w:bottom w:val="single" w:color="000000" w:sz="4" w:space="0"/>
              <w:right w:val="single" w:color="auto" w:sz="4" w:space="0"/>
            </w:tcBorders>
            <w:vAlign w:val="center"/>
          </w:tcPr>
          <w:p w14:paraId="7F50B04A">
            <w:pPr>
              <w:widowControl/>
              <w:jc w:val="left"/>
              <w:rPr>
                <w:rFonts w:cs="宋体" w:asciiTheme="majorEastAsia" w:hAnsiTheme="majorEastAsia" w:eastAsiaTheme="majorEastAsia"/>
                <w:color w:val="000000"/>
                <w:kern w:val="0"/>
                <w:sz w:val="24"/>
                <w:szCs w:val="24"/>
              </w:rPr>
            </w:pPr>
          </w:p>
        </w:tc>
        <w:tc>
          <w:tcPr>
            <w:tcW w:w="1676" w:type="dxa"/>
            <w:tcBorders>
              <w:top w:val="nil"/>
              <w:left w:val="nil"/>
              <w:bottom w:val="single" w:color="auto" w:sz="4" w:space="0"/>
              <w:right w:val="single" w:color="auto" w:sz="4" w:space="0"/>
            </w:tcBorders>
            <w:shd w:val="clear" w:color="auto" w:fill="auto"/>
            <w:noWrap/>
            <w:vAlign w:val="center"/>
          </w:tcPr>
          <w:p w14:paraId="36DCA09C">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NS-SecPath F1050</w:t>
            </w:r>
          </w:p>
        </w:tc>
        <w:tc>
          <w:tcPr>
            <w:tcW w:w="3805" w:type="dxa"/>
            <w:tcBorders>
              <w:top w:val="nil"/>
              <w:left w:val="nil"/>
              <w:bottom w:val="single" w:color="auto" w:sz="4" w:space="0"/>
              <w:right w:val="single" w:color="auto" w:sz="4" w:space="0"/>
            </w:tcBorders>
            <w:shd w:val="clear" w:color="auto" w:fill="auto"/>
            <w:vAlign w:val="center"/>
          </w:tcPr>
          <w:p w14:paraId="79C735DB">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H3C SecPath  F1050 防火墙主机,16个10/100/1000BASE-T端口,8个100/1000 BASE-X SFP端口,2个Slots</w:t>
            </w:r>
          </w:p>
        </w:tc>
        <w:tc>
          <w:tcPr>
            <w:tcW w:w="657" w:type="dxa"/>
            <w:tcBorders>
              <w:top w:val="nil"/>
              <w:left w:val="nil"/>
              <w:bottom w:val="single" w:color="auto" w:sz="4" w:space="0"/>
              <w:right w:val="single" w:color="auto" w:sz="4" w:space="0"/>
            </w:tcBorders>
            <w:shd w:val="clear" w:color="auto" w:fill="auto"/>
            <w:noWrap/>
            <w:vAlign w:val="center"/>
          </w:tcPr>
          <w:p w14:paraId="61DED89D">
            <w:pPr>
              <w:widowControl/>
              <w:jc w:val="center"/>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w:t>
            </w:r>
          </w:p>
        </w:tc>
      </w:tr>
      <w:tr w14:paraId="4D881A20">
        <w:tblPrEx>
          <w:tblCellMar>
            <w:top w:w="0" w:type="dxa"/>
            <w:left w:w="108" w:type="dxa"/>
            <w:bottom w:w="0" w:type="dxa"/>
            <w:right w:w="108" w:type="dxa"/>
          </w:tblCellMar>
        </w:tblPrEx>
        <w:trPr>
          <w:trHeight w:val="239" w:hRule="atLeast"/>
        </w:trPr>
        <w:tc>
          <w:tcPr>
            <w:tcW w:w="657" w:type="dxa"/>
            <w:tcBorders>
              <w:top w:val="nil"/>
              <w:left w:val="single" w:color="auto" w:sz="4" w:space="0"/>
              <w:bottom w:val="single" w:color="auto" w:sz="4" w:space="0"/>
              <w:right w:val="single" w:color="auto" w:sz="4" w:space="0"/>
            </w:tcBorders>
            <w:shd w:val="clear" w:color="auto" w:fill="auto"/>
            <w:vAlign w:val="center"/>
          </w:tcPr>
          <w:p w14:paraId="3DE836C8">
            <w:pPr>
              <w:widowControl/>
              <w:jc w:val="center"/>
              <w:rPr>
                <w:rFonts w:cs="宋体" w:asciiTheme="majorEastAsia" w:hAnsiTheme="majorEastAsia" w:eastAsiaTheme="majorEastAsia"/>
                <w:color w:val="000000"/>
                <w:kern w:val="0"/>
                <w:sz w:val="24"/>
                <w:szCs w:val="24"/>
              </w:rPr>
            </w:pPr>
            <w:r>
              <w:rPr>
                <w:rFonts w:cs="宋体" w:asciiTheme="majorEastAsia" w:hAnsiTheme="majorEastAsia" w:eastAsiaTheme="majorEastAsia"/>
                <w:color w:val="000000"/>
                <w:kern w:val="0"/>
                <w:sz w:val="24"/>
                <w:szCs w:val="24"/>
              </w:rPr>
              <w:t>3</w:t>
            </w:r>
          </w:p>
        </w:tc>
        <w:tc>
          <w:tcPr>
            <w:tcW w:w="838" w:type="dxa"/>
            <w:vMerge w:val="continue"/>
            <w:tcBorders>
              <w:top w:val="nil"/>
              <w:left w:val="single" w:color="auto" w:sz="4" w:space="0"/>
              <w:bottom w:val="single" w:color="000000" w:sz="4" w:space="0"/>
              <w:right w:val="single" w:color="auto" w:sz="4" w:space="0"/>
            </w:tcBorders>
            <w:vAlign w:val="center"/>
          </w:tcPr>
          <w:p w14:paraId="2CF4D16E">
            <w:pPr>
              <w:widowControl/>
              <w:jc w:val="left"/>
              <w:rPr>
                <w:rFonts w:cs="宋体" w:asciiTheme="majorEastAsia" w:hAnsiTheme="majorEastAsia" w:eastAsiaTheme="majorEastAsia"/>
                <w:color w:val="000000"/>
                <w:kern w:val="0"/>
                <w:sz w:val="24"/>
                <w:szCs w:val="24"/>
              </w:rPr>
            </w:pPr>
          </w:p>
        </w:tc>
        <w:tc>
          <w:tcPr>
            <w:tcW w:w="1676" w:type="dxa"/>
            <w:tcBorders>
              <w:top w:val="nil"/>
              <w:left w:val="nil"/>
              <w:bottom w:val="single" w:color="auto" w:sz="4" w:space="0"/>
              <w:right w:val="single" w:color="auto" w:sz="4" w:space="0"/>
            </w:tcBorders>
            <w:shd w:val="clear" w:color="auto" w:fill="auto"/>
            <w:noWrap/>
            <w:vAlign w:val="center"/>
          </w:tcPr>
          <w:p w14:paraId="4D52F328">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安全--安全license</w:t>
            </w:r>
          </w:p>
        </w:tc>
        <w:tc>
          <w:tcPr>
            <w:tcW w:w="3805" w:type="dxa"/>
            <w:tcBorders>
              <w:top w:val="nil"/>
              <w:left w:val="nil"/>
              <w:bottom w:val="single" w:color="auto" w:sz="4" w:space="0"/>
              <w:right w:val="single" w:color="auto" w:sz="4" w:space="0"/>
            </w:tcBorders>
            <w:shd w:val="clear" w:color="auto" w:fill="auto"/>
            <w:vAlign w:val="center"/>
          </w:tcPr>
          <w:p w14:paraId="2B6BD3DB">
            <w:pPr>
              <w:widowControl/>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H3C SecPath F1000，AV /防病毒安全License，IPS 特征库升级服务，URL特征库升级，1年</w:t>
            </w:r>
          </w:p>
        </w:tc>
        <w:tc>
          <w:tcPr>
            <w:tcW w:w="657" w:type="dxa"/>
            <w:tcBorders>
              <w:top w:val="nil"/>
              <w:left w:val="nil"/>
              <w:bottom w:val="single" w:color="auto" w:sz="4" w:space="0"/>
              <w:right w:val="single" w:color="auto" w:sz="4" w:space="0"/>
            </w:tcBorders>
            <w:shd w:val="clear" w:color="auto" w:fill="auto"/>
            <w:noWrap/>
            <w:vAlign w:val="center"/>
          </w:tcPr>
          <w:p w14:paraId="2AAACDE2">
            <w:pPr>
              <w:widowControl/>
              <w:jc w:val="center"/>
              <w:rPr>
                <w:rFonts w:cs="宋体" w:asciiTheme="majorEastAsia" w:hAnsiTheme="majorEastAsia" w:eastAsiaTheme="majorEastAsia"/>
                <w:color w:val="000000"/>
                <w:kern w:val="0"/>
                <w:sz w:val="24"/>
                <w:szCs w:val="24"/>
              </w:rPr>
            </w:pPr>
            <w:r>
              <w:rPr>
                <w:rFonts w:cs="宋体" w:asciiTheme="majorEastAsia" w:hAnsiTheme="majorEastAsia" w:eastAsiaTheme="majorEastAsia"/>
                <w:color w:val="000000"/>
                <w:kern w:val="0"/>
                <w:sz w:val="24"/>
                <w:szCs w:val="24"/>
              </w:rPr>
              <w:t>2</w:t>
            </w:r>
          </w:p>
        </w:tc>
      </w:tr>
    </w:tbl>
    <w:p w14:paraId="69F7191B">
      <w:pPr>
        <w:adjustRightInd w:val="0"/>
        <w:snapToGrid w:val="0"/>
        <w:spacing w:line="500" w:lineRule="exact"/>
        <w:rPr>
          <w:rFonts w:cs="宋体" w:asciiTheme="majorEastAsia" w:hAnsiTheme="majorEastAsia" w:eastAsiaTheme="majorEastAsia"/>
          <w:sz w:val="24"/>
          <w:szCs w:val="24"/>
        </w:rPr>
      </w:pPr>
    </w:p>
    <w:p w14:paraId="338304CF">
      <w:pPr>
        <w:pStyle w:val="7"/>
        <w:adjustRightInd w:val="0"/>
        <w:snapToGrid w:val="0"/>
        <w:spacing w:before="0" w:after="0" w:line="500" w:lineRule="exact"/>
        <w:rPr>
          <w:rFonts w:cs="宋体" w:asciiTheme="majorEastAsia" w:hAnsiTheme="majorEastAsia" w:eastAsiaTheme="majorEastAsia"/>
          <w:sz w:val="24"/>
          <w:szCs w:val="24"/>
        </w:rPr>
      </w:pPr>
      <w:r>
        <w:rPr>
          <w:rFonts w:cs="宋体" w:asciiTheme="majorEastAsia" w:hAnsiTheme="majorEastAsia" w:eastAsiaTheme="majorEastAsia"/>
          <w:sz w:val="24"/>
          <w:szCs w:val="24"/>
        </w:rPr>
        <w:t>1.3</w:t>
      </w:r>
      <w:r>
        <w:rPr>
          <w:rFonts w:hint="eastAsia" w:cs="宋体" w:asciiTheme="majorEastAsia" w:hAnsiTheme="majorEastAsia" w:eastAsiaTheme="majorEastAsia"/>
          <w:sz w:val="24"/>
          <w:szCs w:val="24"/>
        </w:rPr>
        <w:t>运维服务要求</w:t>
      </w:r>
    </w:p>
    <w:p w14:paraId="32464BBE">
      <w:pPr>
        <w:pStyle w:val="21"/>
        <w:widowControl/>
        <w:numPr>
          <w:ilvl w:val="0"/>
          <w:numId w:val="2"/>
        </w:numPr>
        <w:tabs>
          <w:tab w:val="left" w:pos="709"/>
        </w:tabs>
        <w:adjustRightInd w:val="0"/>
        <w:snapToGrid w:val="0"/>
        <w:spacing w:line="500" w:lineRule="exact"/>
        <w:ind w:left="-180" w:leftChars="0" w:firstLineChars="0"/>
        <w:jc w:val="left"/>
        <w:rPr>
          <w:rFonts w:cs="宋体" w:asciiTheme="majorEastAsia" w:hAnsiTheme="majorEastAsia" w:eastAsiaTheme="majorEastAsia"/>
          <w:bCs/>
          <w:sz w:val="24"/>
        </w:rPr>
      </w:pPr>
      <w:r>
        <w:rPr>
          <w:rFonts w:hint="eastAsia" w:cs="宋体" w:asciiTheme="majorEastAsia" w:hAnsiTheme="majorEastAsia" w:eastAsiaTheme="majorEastAsia"/>
          <w:b/>
          <w:sz w:val="24"/>
        </w:rPr>
        <w:t>技术支持服务：</w:t>
      </w:r>
      <w:r>
        <w:rPr>
          <w:rFonts w:hint="eastAsia" w:cs="宋体" w:asciiTheme="majorEastAsia" w:hAnsiTheme="majorEastAsia" w:eastAsiaTheme="majorEastAsia"/>
          <w:bCs/>
          <w:sz w:val="24"/>
        </w:rPr>
        <w:t>服务期内提供7x24小时的电话专业技术咨询和指导服务支持，指导用户排除软件故障，解答用户的技术问题。当用户的系统问题不能够通过电话的方式解决时，将按客户要求调派工程师到达用户现场解决问题，在工程师到达现场后还不能有效解决，工程师将协助用户尽快把系统问题提交给后台服务队伍升级处理并制定解决方案，为保障在运维服务期内，出现紧急重大故障时可以找到设备原厂商技术支持，供应商应在报价文件中提供原厂技术支持服务授权函并加盖运维服务内容里面安全设备产品制造商的公章。</w:t>
      </w:r>
    </w:p>
    <w:p w14:paraId="58BD1552">
      <w:pPr>
        <w:pStyle w:val="21"/>
        <w:widowControl/>
        <w:numPr>
          <w:ilvl w:val="0"/>
          <w:numId w:val="2"/>
        </w:numPr>
        <w:tabs>
          <w:tab w:val="left" w:pos="709"/>
        </w:tabs>
        <w:adjustRightInd w:val="0"/>
        <w:snapToGrid w:val="0"/>
        <w:spacing w:line="500" w:lineRule="exact"/>
        <w:ind w:left="-180" w:leftChars="0" w:firstLineChars="0"/>
        <w:jc w:val="left"/>
        <w:rPr>
          <w:rFonts w:cs="宋体" w:asciiTheme="majorEastAsia" w:hAnsiTheme="majorEastAsia" w:eastAsiaTheme="majorEastAsia"/>
          <w:bCs/>
          <w:sz w:val="24"/>
        </w:rPr>
      </w:pPr>
      <w:r>
        <w:rPr>
          <w:rFonts w:hint="eastAsia" w:cs="宋体" w:asciiTheme="majorEastAsia" w:hAnsiTheme="majorEastAsia" w:eastAsiaTheme="majorEastAsia"/>
          <w:b/>
          <w:sz w:val="24"/>
        </w:rPr>
        <w:t>设备故障处置：</w:t>
      </w:r>
      <w:r>
        <w:rPr>
          <w:rFonts w:hint="eastAsia" w:cs="宋体" w:asciiTheme="majorEastAsia" w:hAnsiTheme="majorEastAsia" w:eastAsiaTheme="majorEastAsia"/>
          <w:bCs/>
          <w:sz w:val="24"/>
        </w:rPr>
        <w:t>服务期内对日常发现的设备故障按照故障处理支持流程进行设备维修、专业故障诊断分析和现场硬件更换实施。如遇到复杂和疑难故障，及时进行故障问题技术升级，申请安排后线资深工程师专家进行协助，协调工程师根据客户需要赶赴现场实施服务，保证问题能够得到原厂权威解答，复杂和疑难问题能够从代码级等设备产品底层问题得到快速定位、闭环，及时降低客户业务受影响范围，缩短设备故障修复时间。</w:t>
      </w:r>
    </w:p>
    <w:p w14:paraId="46F4A715">
      <w:pPr>
        <w:pStyle w:val="21"/>
        <w:widowControl/>
        <w:numPr>
          <w:ilvl w:val="0"/>
          <w:numId w:val="2"/>
        </w:numPr>
        <w:tabs>
          <w:tab w:val="left" w:pos="709"/>
        </w:tabs>
        <w:adjustRightInd w:val="0"/>
        <w:snapToGrid w:val="0"/>
        <w:spacing w:line="500" w:lineRule="exact"/>
        <w:ind w:left="-180" w:leftChars="0" w:firstLineChars="0"/>
        <w:jc w:val="left"/>
        <w:rPr>
          <w:rFonts w:cs="宋体" w:asciiTheme="majorEastAsia" w:hAnsiTheme="majorEastAsia" w:eastAsiaTheme="majorEastAsia"/>
          <w:bCs/>
          <w:sz w:val="24"/>
        </w:rPr>
      </w:pPr>
      <w:r>
        <w:rPr>
          <w:rFonts w:hint="eastAsia" w:cs="宋体" w:asciiTheme="majorEastAsia" w:hAnsiTheme="majorEastAsia" w:eastAsiaTheme="majorEastAsia"/>
          <w:b/>
          <w:sz w:val="24"/>
        </w:rPr>
        <w:t>巡检服务：</w:t>
      </w:r>
      <w:r>
        <w:rPr>
          <w:rFonts w:hint="eastAsia" w:cs="宋体" w:asciiTheme="majorEastAsia" w:hAnsiTheme="majorEastAsia" w:eastAsiaTheme="majorEastAsia"/>
          <w:bCs/>
          <w:sz w:val="24"/>
        </w:rPr>
        <w:t>服务期内每半年提供专业级的技术专家巡检服务，形成巡检报告，对严重/重点/一般性问题进行分析并给出专业建议。</w:t>
      </w:r>
    </w:p>
    <w:p w14:paraId="25CC419B">
      <w:pPr>
        <w:pStyle w:val="21"/>
        <w:widowControl/>
        <w:numPr>
          <w:ilvl w:val="0"/>
          <w:numId w:val="2"/>
        </w:numPr>
        <w:tabs>
          <w:tab w:val="left" w:pos="709"/>
        </w:tabs>
        <w:adjustRightInd w:val="0"/>
        <w:snapToGrid w:val="0"/>
        <w:spacing w:line="500" w:lineRule="exact"/>
        <w:ind w:left="-180" w:leftChars="0" w:firstLineChars="0"/>
        <w:jc w:val="left"/>
        <w:rPr>
          <w:rFonts w:cs="宋体" w:asciiTheme="majorEastAsia" w:hAnsiTheme="majorEastAsia" w:eastAsiaTheme="majorEastAsia"/>
          <w:sz w:val="24"/>
        </w:rPr>
      </w:pPr>
      <w:r>
        <w:rPr>
          <w:rFonts w:hint="eastAsia" w:cs="宋体" w:asciiTheme="majorEastAsia" w:hAnsiTheme="majorEastAsia" w:eastAsiaTheme="majorEastAsia"/>
          <w:b/>
          <w:bCs/>
          <w:sz w:val="24"/>
        </w:rPr>
        <w:t>安全设备授权更新服务</w:t>
      </w:r>
      <w:r>
        <w:rPr>
          <w:rFonts w:hint="eastAsia" w:cs="宋体" w:asciiTheme="majorEastAsia" w:hAnsiTheme="majorEastAsia" w:eastAsiaTheme="majorEastAsia"/>
          <w:sz w:val="24"/>
        </w:rPr>
        <w:t>：对于安全设备</w:t>
      </w:r>
      <w:r>
        <w:rPr>
          <w:rFonts w:cs="宋体" w:asciiTheme="majorEastAsia" w:hAnsiTheme="majorEastAsia" w:eastAsiaTheme="majorEastAsia"/>
          <w:sz w:val="24"/>
        </w:rPr>
        <w:t>NS-SecPath F1050</w:t>
      </w:r>
      <w:r>
        <w:rPr>
          <w:rFonts w:hint="eastAsia" w:cs="宋体" w:asciiTheme="majorEastAsia" w:hAnsiTheme="majorEastAsia" w:eastAsiaTheme="majorEastAsia"/>
          <w:sz w:val="24"/>
        </w:rPr>
        <w:t>设备安全授权需对相关软件进行以序列号的形式进行更新，平滑对接，</w:t>
      </w:r>
    </w:p>
    <w:p w14:paraId="5B61204B">
      <w:pPr>
        <w:pStyle w:val="21"/>
        <w:widowControl/>
        <w:numPr>
          <w:ilvl w:val="0"/>
          <w:numId w:val="2"/>
        </w:numPr>
        <w:tabs>
          <w:tab w:val="left" w:pos="709"/>
        </w:tabs>
        <w:adjustRightInd w:val="0"/>
        <w:snapToGrid w:val="0"/>
        <w:spacing w:line="500" w:lineRule="exact"/>
        <w:ind w:left="-180" w:leftChars="0" w:firstLineChars="0"/>
        <w:jc w:val="left"/>
        <w:rPr>
          <w:rFonts w:cs="宋体" w:asciiTheme="majorEastAsia" w:hAnsiTheme="majorEastAsia" w:eastAsiaTheme="majorEastAsia"/>
          <w:sz w:val="24"/>
        </w:rPr>
      </w:pPr>
      <w:r>
        <w:rPr>
          <w:rFonts w:hint="eastAsia" w:cs="宋体" w:asciiTheme="majorEastAsia" w:hAnsiTheme="majorEastAsia" w:eastAsiaTheme="majorEastAsia"/>
          <w:sz w:val="24"/>
        </w:rPr>
        <w:t>报价时需提供</w:t>
      </w:r>
      <w:r>
        <w:rPr>
          <w:rFonts w:hint="eastAsia" w:cs="宋体" w:asciiTheme="majorEastAsia" w:hAnsiTheme="majorEastAsia" w:eastAsiaTheme="majorEastAsia"/>
          <w:sz w:val="24"/>
          <w:lang w:val="en-US" w:eastAsia="zh-CN"/>
        </w:rPr>
        <w:t>制造商</w:t>
      </w:r>
      <w:r>
        <w:rPr>
          <w:rFonts w:hint="eastAsia" w:cs="宋体" w:asciiTheme="majorEastAsia" w:hAnsiTheme="majorEastAsia" w:eastAsiaTheme="majorEastAsia"/>
          <w:sz w:val="24"/>
        </w:rPr>
        <w:t>服务授权函并加盖该产品制造商公章。</w:t>
      </w:r>
    </w:p>
    <w:p w14:paraId="2F4D989A">
      <w:pPr>
        <w:pStyle w:val="21"/>
        <w:widowControl/>
        <w:tabs>
          <w:tab w:val="left" w:pos="709"/>
        </w:tabs>
        <w:adjustRightInd w:val="0"/>
        <w:snapToGrid w:val="0"/>
        <w:spacing w:line="500" w:lineRule="exact"/>
        <w:ind w:left="-316" w:firstLine="0" w:firstLineChars="0"/>
        <w:jc w:val="left"/>
        <w:rPr>
          <w:rFonts w:cs="宋体" w:asciiTheme="majorEastAsia" w:hAnsiTheme="majorEastAsia" w:eastAsiaTheme="majorEastAsia"/>
          <w:sz w:val="24"/>
        </w:rPr>
      </w:pPr>
      <w:bookmarkStart w:id="0" w:name="_GoBack"/>
      <w:bookmarkEnd w:id="0"/>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7D4C">
    <w:pPr>
      <w:pStyle w:val="11"/>
      <w:framePr w:wrap="around" w:vAnchor="text" w:hAnchor="margin" w:xAlign="center" w:y="1"/>
      <w:ind w:right="-173"/>
      <w:rPr>
        <w:rStyle w:val="17"/>
      </w:rPr>
    </w:pPr>
    <w:r>
      <w:rPr>
        <w:rStyle w:val="17"/>
      </w:rPr>
      <w:fldChar w:fldCharType="begin"/>
    </w:r>
    <w:r>
      <w:rPr>
        <w:rStyle w:val="17"/>
      </w:rPr>
      <w:instrText xml:space="preserve">PAGE  </w:instrText>
    </w:r>
    <w:r>
      <w:rPr>
        <w:rStyle w:val="17"/>
      </w:rPr>
      <w:fldChar w:fldCharType="separate"/>
    </w:r>
    <w:r>
      <w:rPr>
        <w:rStyle w:val="17"/>
      </w:rPr>
      <w:t>55</w:t>
    </w:r>
    <w:r>
      <w:rPr>
        <w:rStyle w:val="17"/>
      </w:rPr>
      <w:fldChar w:fldCharType="end"/>
    </w:r>
  </w:p>
  <w:p w14:paraId="090A2362">
    <w:pPr>
      <w:pStyle w:val="11"/>
      <w:ind w:right="-173"/>
    </w:pPr>
  </w:p>
  <w:p w14:paraId="65B14E4F">
    <w:pPr>
      <w:ind w:right="-173"/>
    </w:pPr>
  </w:p>
  <w:p w14:paraId="74B39B7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E16BDB"/>
    <w:multiLevelType w:val="multilevel"/>
    <w:tmpl w:val="33E16BDB"/>
    <w:lvl w:ilvl="0" w:tentative="0">
      <w:start w:val="1"/>
      <w:numFmt w:val="decimal"/>
      <w:suff w:val="nothing"/>
      <w:lvlText w:val="%1、"/>
      <w:lvlJc w:val="left"/>
      <w:pPr>
        <w:ind w:left="-180" w:firstLine="600"/>
      </w:pPr>
      <w:rPr>
        <w:rFonts w:hint="eastAsia" w:ascii="宋体" w:hAnsi="宋体" w:eastAsia="宋体" w:cs="宋体"/>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818" w:hanging="420"/>
      </w:pPr>
    </w:lvl>
    <w:lvl w:ilvl="2" w:tentative="0">
      <w:start w:val="1"/>
      <w:numFmt w:val="lowerRoman"/>
      <w:lvlText w:val="%3."/>
      <w:lvlJc w:val="right"/>
      <w:pPr>
        <w:ind w:left="2238" w:hanging="420"/>
      </w:pPr>
    </w:lvl>
    <w:lvl w:ilvl="3" w:tentative="0">
      <w:start w:val="1"/>
      <w:numFmt w:val="decimal"/>
      <w:lvlText w:val="%4."/>
      <w:lvlJc w:val="left"/>
      <w:pPr>
        <w:ind w:left="2658" w:hanging="420"/>
      </w:pPr>
    </w:lvl>
    <w:lvl w:ilvl="4" w:tentative="0">
      <w:start w:val="1"/>
      <w:numFmt w:val="lowerLetter"/>
      <w:lvlText w:val="%5)"/>
      <w:lvlJc w:val="left"/>
      <w:pPr>
        <w:ind w:left="3078" w:hanging="420"/>
      </w:pPr>
    </w:lvl>
    <w:lvl w:ilvl="5" w:tentative="0">
      <w:start w:val="1"/>
      <w:numFmt w:val="lowerRoman"/>
      <w:lvlText w:val="%6."/>
      <w:lvlJc w:val="right"/>
      <w:pPr>
        <w:ind w:left="3498" w:hanging="420"/>
      </w:pPr>
    </w:lvl>
    <w:lvl w:ilvl="6" w:tentative="0">
      <w:start w:val="1"/>
      <w:numFmt w:val="decimal"/>
      <w:lvlText w:val="%7."/>
      <w:lvlJc w:val="left"/>
      <w:pPr>
        <w:ind w:left="3918" w:hanging="420"/>
      </w:pPr>
    </w:lvl>
    <w:lvl w:ilvl="7" w:tentative="0">
      <w:start w:val="1"/>
      <w:numFmt w:val="lowerLetter"/>
      <w:lvlText w:val="%8)"/>
      <w:lvlJc w:val="left"/>
      <w:pPr>
        <w:ind w:left="4338" w:hanging="420"/>
      </w:pPr>
    </w:lvl>
    <w:lvl w:ilvl="8" w:tentative="0">
      <w:start w:val="1"/>
      <w:numFmt w:val="lowerRoman"/>
      <w:lvlText w:val="%9."/>
      <w:lvlJc w:val="right"/>
      <w:pPr>
        <w:ind w:left="4758" w:hanging="420"/>
      </w:pPr>
    </w:lvl>
  </w:abstractNum>
  <w:abstractNum w:abstractNumId="1">
    <w:nsid w:val="5E1B0441"/>
    <w:multiLevelType w:val="multilevel"/>
    <w:tmpl w:val="5E1B0441"/>
    <w:lvl w:ilvl="0" w:tentative="0">
      <w:start w:val="1"/>
      <w:numFmt w:val="bullet"/>
      <w:pStyle w:val="2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0ZjZmMjE4ODg5ZjQxOWI3YTA5MTU4ZjEzZmRhMjMifQ=="/>
  </w:docVars>
  <w:rsids>
    <w:rsidRoot w:val="00345EDB"/>
    <w:rsid w:val="00071079"/>
    <w:rsid w:val="00311B20"/>
    <w:rsid w:val="003341DA"/>
    <w:rsid w:val="00345EDB"/>
    <w:rsid w:val="003E156F"/>
    <w:rsid w:val="005F147C"/>
    <w:rsid w:val="00691443"/>
    <w:rsid w:val="007416D6"/>
    <w:rsid w:val="007B5733"/>
    <w:rsid w:val="007E0676"/>
    <w:rsid w:val="00952633"/>
    <w:rsid w:val="00B36793"/>
    <w:rsid w:val="00B632CD"/>
    <w:rsid w:val="00BC1913"/>
    <w:rsid w:val="00C30BC3"/>
    <w:rsid w:val="00D01017"/>
    <w:rsid w:val="00D16F5B"/>
    <w:rsid w:val="00D46232"/>
    <w:rsid w:val="00D739C8"/>
    <w:rsid w:val="00FD73B4"/>
    <w:rsid w:val="13AB11BE"/>
    <w:rsid w:val="1DA23625"/>
    <w:rsid w:val="318C09DE"/>
    <w:rsid w:val="655440CD"/>
    <w:rsid w:val="75773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rFonts w:ascii="宋体"/>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9">
    <w:name w:val="Body Text Indent"/>
    <w:basedOn w:val="1"/>
    <w:qFormat/>
    <w:uiPriority w:val="0"/>
    <w:pPr>
      <w:spacing w:after="120" w:line="360" w:lineRule="auto"/>
      <w:ind w:left="420" w:leftChars="200"/>
      <w:jc w:val="left"/>
    </w:pPr>
    <w:rPr>
      <w:sz w:val="28"/>
    </w:rPr>
  </w:style>
  <w:style w:type="paragraph" w:styleId="10">
    <w:name w:val="Plain Text"/>
    <w:basedOn w:val="1"/>
    <w:qFormat/>
    <w:uiPriority w:val="0"/>
    <w:pPr>
      <w:spacing w:line="360" w:lineRule="auto"/>
    </w:pPr>
    <w:rPr>
      <w:rFonts w:ascii="楷体_GB2312" w:hAnsi="Courier New" w:eastAsia="楷体_GB2312"/>
      <w:sz w:val="24"/>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eastAsiaTheme="minorEastAsia"/>
      <w:sz w:val="28"/>
    </w:rPr>
  </w:style>
  <w:style w:type="paragraph" w:styleId="14">
    <w:name w:val="Body Text First Indent 2"/>
    <w:basedOn w:val="9"/>
    <w:qFormat/>
    <w:uiPriority w:val="0"/>
    <w:pPr>
      <w:ind w:firstLine="420" w:firstLineChars="200"/>
    </w:pPr>
  </w:style>
  <w:style w:type="character" w:styleId="17">
    <w:name w:val="page number"/>
    <w:basedOn w:val="16"/>
    <w:qFormat/>
    <w:uiPriority w:val="0"/>
  </w:style>
  <w:style w:type="table" w:customStyle="1" w:styleId="18">
    <w:name w:val="TableGrid"/>
    <w:qFormat/>
    <w:uiPriority w:val="0"/>
    <w:tblPr>
      <w:tblCellMar>
        <w:top w:w="0" w:type="dxa"/>
        <w:left w:w="0" w:type="dxa"/>
        <w:bottom w:w="0" w:type="dxa"/>
        <w:right w:w="0" w:type="dxa"/>
      </w:tblCellMar>
    </w:tblPr>
  </w:style>
  <w:style w:type="paragraph" w:customStyle="1" w:styleId="19">
    <w:name w:val="_Style 21"/>
    <w:basedOn w:val="1"/>
    <w:next w:val="20"/>
    <w:qFormat/>
    <w:uiPriority w:val="99"/>
    <w:pPr>
      <w:ind w:firstLine="420" w:firstLineChars="200"/>
    </w:pPr>
    <w:rPr>
      <w:szCs w:val="24"/>
    </w:rPr>
  </w:style>
  <w:style w:type="paragraph" w:styleId="20">
    <w:name w:val="List Paragraph"/>
    <w:basedOn w:val="1"/>
    <w:qFormat/>
    <w:uiPriority w:val="1"/>
    <w:pPr>
      <w:numPr>
        <w:ilvl w:val="0"/>
        <w:numId w:val="1"/>
      </w:numPr>
      <w:autoSpaceDE w:val="0"/>
      <w:autoSpaceDN w:val="0"/>
      <w:spacing w:line="500" w:lineRule="atLeast"/>
      <w:ind w:right="-172" w:rightChars="-82"/>
      <w:jc w:val="left"/>
    </w:pPr>
    <w:rPr>
      <w:szCs w:val="24"/>
    </w:rPr>
  </w:style>
  <w:style w:type="paragraph" w:customStyle="1" w:styleId="21">
    <w:name w:val="列出段落1"/>
    <w:basedOn w:val="1"/>
    <w:qFormat/>
    <w:uiPriority w:val="34"/>
    <w:pPr>
      <w:ind w:firstLine="420" w:firstLineChars="200"/>
    </w:pPr>
    <w:rPr>
      <w:rFonts w:ascii="Calibri" w:hAnsi="Calibri"/>
      <w:szCs w:val="24"/>
    </w:rPr>
  </w:style>
  <w:style w:type="character" w:customStyle="1" w:styleId="22">
    <w:name w:val="页眉 字符"/>
    <w:basedOn w:val="16"/>
    <w:link w:val="1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714</Words>
  <Characters>863</Characters>
  <Lines>10</Lines>
  <Paragraphs>2</Paragraphs>
  <TotalTime>32</TotalTime>
  <ScaleCrop>false</ScaleCrop>
  <LinksUpToDate>false</LinksUpToDate>
  <CharactersWithSpaces>879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2025-08-19T03:30:00Z</dcterms:created>
  <dc:creator>q</dc:creator>
  <cp:lastModifiedBy>Demi</cp:lastModifiedBy>
  <dcterms:modified xsi:type="dcterms:W3CDTF">2025-10-24T01:00:04Z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eyJoZGlkIjoiOGU3MGU1MmIwNWEwOTExYjhkYmZhNjczZTVhNTk4OTMiLCJ1c2VySWQiOiI0MzgxMzYyNzgifQ==</vt:lpwstr>
  </property>
  <property fmtid="{D5CDD505-2E9C-101B-9397-08002B2CF9AE}" pid="4" name="ICV">
    <vt:lpwstr>D44807CDE7314F6E8877D866110503B1_13</vt:lpwstr>
  </property>
</Properties>
</file>