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88475">
      <w:pPr>
        <w:snapToGrid/>
        <w:jc w:val="center"/>
        <w:outlineLvl w:val="0"/>
        <w:rPr>
          <w:rFonts w:hint="eastAsia" w:asciiTheme="majorEastAsia" w:hAnsiTheme="majorEastAsia" w:eastAsiaTheme="majorEastAsia" w:cstheme="majorEastAsia"/>
          <w:b/>
          <w:bCs/>
          <w:color w:val="000000"/>
          <w:sz w:val="28"/>
          <w:szCs w:val="28"/>
          <w:lang w:val="en-US" w:eastAsia="zh-CN"/>
        </w:rPr>
      </w:pPr>
      <w:bookmarkStart w:id="0" w:name="_Toc195864868"/>
      <w:r>
        <w:rPr>
          <w:rFonts w:hint="eastAsia" w:asciiTheme="majorEastAsia" w:hAnsiTheme="majorEastAsia" w:eastAsiaTheme="majorEastAsia" w:cstheme="majorEastAsia"/>
          <w:b/>
          <w:bCs/>
          <w:color w:val="000000"/>
          <w:sz w:val="28"/>
          <w:szCs w:val="28"/>
          <w:lang w:val="en-US" w:eastAsia="zh-CN"/>
        </w:rPr>
        <w:t>ICU重症系统需求明细</w:t>
      </w:r>
    </w:p>
    <w:p w14:paraId="7DD89FFC">
      <w:pPr>
        <w:snapToGrid/>
        <w:outlineLvl w:val="0"/>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指标一、ICU 床位使用率（ICU-01）</w:t>
      </w:r>
      <w:bookmarkEnd w:id="0"/>
    </w:p>
    <w:p w14:paraId="491BD7E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定义：ICU 实际占用总床日数与同期 ICU 实际开放总床</w:t>
      </w:r>
      <w:r>
        <w:rPr>
          <w:rFonts w:hint="eastAsia" w:asciiTheme="minorEastAsia" w:hAnsiTheme="minorEastAsia" w:eastAsiaTheme="minorEastAsia" w:cstheme="minorEastAsia"/>
          <w:color w:val="000000"/>
          <w:sz w:val="24"/>
          <w:szCs w:val="24"/>
        </w:rPr>
        <w:t>日数之比。</w:t>
      </w:r>
    </w:p>
    <w:p w14:paraId="45938E31">
      <w:pPr>
        <w:pStyle w:val="4"/>
        <w:spacing w:line="312" w:lineRule="auto"/>
        <w:rPr>
          <w:rFonts w:hint="eastAsia" w:asciiTheme="minorEastAsia" w:hAnsiTheme="minorEastAsia" w:eastAsiaTheme="minorEastAsia" w:cstheme="minorEastAsia"/>
          <w:sz w:val="24"/>
          <w:szCs w:val="24"/>
        </w:rPr>
      </w:pPr>
      <w:bookmarkStart w:id="1" w:name="_Toc195864869"/>
      <w:r>
        <w:rPr>
          <w:rFonts w:hint="eastAsia" w:asciiTheme="minorEastAsia" w:hAnsiTheme="minorEastAsia" w:eastAsiaTheme="minorEastAsia" w:cstheme="minorEastAsia"/>
          <w:sz w:val="24"/>
          <w:szCs w:val="24"/>
        </w:rPr>
        <w:t>指标二、ICU 医师床位比（ICU-02）</w:t>
      </w:r>
      <w:bookmarkEnd w:id="1"/>
    </w:p>
    <w:p w14:paraId="72FBD58D">
      <w:pPr>
        <w:snapToGrid/>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定义：</w:t>
      </w:r>
      <w:r>
        <w:rPr>
          <w:rFonts w:hint="eastAsia" w:asciiTheme="minorEastAsia" w:hAnsiTheme="minorEastAsia" w:eastAsiaTheme="minorEastAsia" w:cstheme="minorEastAsia"/>
          <w:color w:val="000000"/>
          <w:sz w:val="24"/>
          <w:szCs w:val="24"/>
        </w:rPr>
        <w:t>ICU 医师总数与 ICU 实际开放床位数之比。</w:t>
      </w:r>
    </w:p>
    <w:p w14:paraId="5276F739">
      <w:pPr>
        <w:pStyle w:val="4"/>
        <w:spacing w:line="312" w:lineRule="auto"/>
        <w:rPr>
          <w:rFonts w:hint="eastAsia" w:asciiTheme="minorEastAsia" w:hAnsiTheme="minorEastAsia" w:eastAsiaTheme="minorEastAsia" w:cstheme="minorEastAsia"/>
          <w:sz w:val="24"/>
          <w:szCs w:val="24"/>
        </w:rPr>
      </w:pPr>
      <w:bookmarkStart w:id="2" w:name="_Toc195864870"/>
      <w:r>
        <w:rPr>
          <w:rFonts w:hint="eastAsia" w:asciiTheme="minorEastAsia" w:hAnsiTheme="minorEastAsia" w:eastAsiaTheme="minorEastAsia" w:cstheme="minorEastAsia"/>
          <w:sz w:val="24"/>
          <w:szCs w:val="24"/>
        </w:rPr>
        <w:t>指标三、ICU 护士床位比（ICU-03）</w:t>
      </w:r>
      <w:bookmarkEnd w:id="2"/>
    </w:p>
    <w:p w14:paraId="63FDC543">
      <w:pPr>
        <w:snapToGrid/>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定义：</w:t>
      </w:r>
      <w:r>
        <w:rPr>
          <w:rFonts w:hint="eastAsia" w:asciiTheme="minorEastAsia" w:hAnsiTheme="minorEastAsia" w:eastAsiaTheme="minorEastAsia" w:cstheme="minorEastAsia"/>
          <w:color w:val="000000"/>
          <w:sz w:val="24"/>
          <w:szCs w:val="24"/>
        </w:rPr>
        <w:t>ICU 护士总数与 ICU 实际开放床位数之比。</w:t>
      </w:r>
    </w:p>
    <w:p w14:paraId="285B9690">
      <w:pPr>
        <w:pStyle w:val="4"/>
        <w:spacing w:line="312" w:lineRule="auto"/>
        <w:rPr>
          <w:rFonts w:hint="eastAsia" w:asciiTheme="minorEastAsia" w:hAnsiTheme="minorEastAsia" w:eastAsiaTheme="minorEastAsia" w:cstheme="minorEastAsia"/>
          <w:sz w:val="24"/>
          <w:szCs w:val="24"/>
        </w:rPr>
      </w:pPr>
      <w:bookmarkStart w:id="3" w:name="_Toc195864871"/>
      <w:r>
        <w:rPr>
          <w:rFonts w:hint="eastAsia" w:asciiTheme="minorEastAsia" w:hAnsiTheme="minorEastAsia" w:eastAsiaTheme="minorEastAsia" w:cstheme="minorEastAsia"/>
          <w:sz w:val="24"/>
          <w:szCs w:val="24"/>
        </w:rPr>
        <w:t>指标四、急性生理与慢性健康评分（APACHEⅡ评分）≥15 分患者收治率（ICU-04）</w:t>
      </w:r>
      <w:bookmarkEnd w:id="3"/>
    </w:p>
    <w:p w14:paraId="48535F93">
      <w:pPr>
        <w:snapToGrid/>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定义：</w:t>
      </w:r>
      <w:r>
        <w:rPr>
          <w:rFonts w:hint="eastAsia" w:asciiTheme="minorEastAsia" w:hAnsiTheme="minorEastAsia" w:eastAsiaTheme="minorEastAsia" w:cstheme="minorEastAsia"/>
          <w:color w:val="000000"/>
          <w:sz w:val="24"/>
          <w:szCs w:val="24"/>
        </w:rPr>
        <w:t>入 ICU 后首次 APACHEⅡ评分≥15 分患者人数占同期 ICU 收治患者总数的比例。</w:t>
      </w:r>
    </w:p>
    <w:p w14:paraId="43A99660">
      <w:pPr>
        <w:pStyle w:val="4"/>
        <w:spacing w:line="312" w:lineRule="auto"/>
        <w:rPr>
          <w:rFonts w:hint="eastAsia" w:asciiTheme="minorEastAsia" w:hAnsiTheme="minorEastAsia" w:eastAsiaTheme="minorEastAsia" w:cstheme="minorEastAsia"/>
          <w:sz w:val="24"/>
          <w:szCs w:val="24"/>
        </w:rPr>
      </w:pPr>
      <w:bookmarkStart w:id="4" w:name="_Toc195864872"/>
      <w:r>
        <w:rPr>
          <w:rFonts w:hint="eastAsia" w:asciiTheme="minorEastAsia" w:hAnsiTheme="minorEastAsia" w:eastAsiaTheme="minorEastAsia" w:cstheme="minorEastAsia"/>
          <w:sz w:val="24"/>
          <w:szCs w:val="24"/>
        </w:rPr>
        <w:t>指标五、感染性休克患者集束化治疗（bundle）完成率（ICU-05）</w:t>
      </w:r>
      <w:bookmarkEnd w:id="4"/>
    </w:p>
    <w:p w14:paraId="4207CAD8">
      <w:pPr>
        <w:snapToGrid/>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定义：</w:t>
      </w:r>
      <w:r>
        <w:rPr>
          <w:rFonts w:hint="eastAsia" w:asciiTheme="minorEastAsia" w:hAnsiTheme="minorEastAsia" w:eastAsiaTheme="minorEastAsia" w:cstheme="minorEastAsia"/>
          <w:color w:val="000000"/>
          <w:sz w:val="24"/>
          <w:szCs w:val="24"/>
        </w:rPr>
        <w:t>入 ICU 诊断为感染性休克并完成 bundle 的患者人数占同期入 ICU 诊断为感染性休克的患者总人数的比例。</w:t>
      </w:r>
    </w:p>
    <w:p w14:paraId="1D68D2C8">
      <w:pPr>
        <w:pStyle w:val="4"/>
        <w:spacing w:line="312" w:lineRule="auto"/>
        <w:rPr>
          <w:rFonts w:hint="eastAsia" w:asciiTheme="minorEastAsia" w:hAnsiTheme="minorEastAsia" w:eastAsiaTheme="minorEastAsia" w:cstheme="minorEastAsia"/>
          <w:sz w:val="24"/>
          <w:szCs w:val="24"/>
        </w:rPr>
      </w:pPr>
      <w:bookmarkStart w:id="5" w:name="_Toc195864873"/>
      <w:r>
        <w:rPr>
          <w:rFonts w:hint="eastAsia" w:asciiTheme="minorEastAsia" w:hAnsiTheme="minorEastAsia" w:eastAsiaTheme="minorEastAsia" w:cstheme="minorEastAsia"/>
          <w:sz w:val="24"/>
          <w:szCs w:val="24"/>
        </w:rPr>
        <w:t>指标六、抗菌药物治疗前病原学送检率（ICU-06）</w:t>
      </w:r>
      <w:bookmarkEnd w:id="5"/>
    </w:p>
    <w:p w14:paraId="7B149E1E">
      <w:pPr>
        <w:snapToGrid/>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定义：</w:t>
      </w:r>
      <w:r>
        <w:rPr>
          <w:rFonts w:hint="eastAsia" w:asciiTheme="minorEastAsia" w:hAnsiTheme="minorEastAsia" w:eastAsiaTheme="minorEastAsia" w:cstheme="minorEastAsia"/>
          <w:color w:val="000000"/>
          <w:sz w:val="24"/>
          <w:szCs w:val="24"/>
        </w:rPr>
        <w:t>以治疗为目的使用抗菌药物前病原学送检的 ICU患者人数占同期使用抗菌药物治疗的 ICU 患者总人数的比例。</w:t>
      </w:r>
    </w:p>
    <w:p w14:paraId="5E4F77E9">
      <w:pPr>
        <w:pStyle w:val="4"/>
        <w:spacing w:line="312" w:lineRule="auto"/>
        <w:rPr>
          <w:rFonts w:hint="eastAsia" w:asciiTheme="minorEastAsia" w:hAnsiTheme="minorEastAsia" w:eastAsiaTheme="minorEastAsia" w:cstheme="minorEastAsia"/>
          <w:sz w:val="24"/>
          <w:szCs w:val="24"/>
        </w:rPr>
      </w:pPr>
      <w:bookmarkStart w:id="6" w:name="_Toc195864874"/>
      <w:r>
        <w:rPr>
          <w:rFonts w:hint="eastAsia" w:asciiTheme="minorEastAsia" w:hAnsiTheme="minorEastAsia" w:eastAsiaTheme="minorEastAsia" w:cstheme="minorEastAsia"/>
          <w:sz w:val="24"/>
          <w:szCs w:val="24"/>
        </w:rPr>
        <w:t>指标七、深静脉血栓（DVT）预防率（ICU-07）</w:t>
      </w:r>
      <w:bookmarkEnd w:id="6"/>
    </w:p>
    <w:p w14:paraId="15212F15">
      <w:pPr>
        <w:snapToGrid/>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定义：</w:t>
      </w:r>
      <w:r>
        <w:rPr>
          <w:rFonts w:hint="eastAsia" w:asciiTheme="minorEastAsia" w:hAnsiTheme="minorEastAsia" w:eastAsiaTheme="minorEastAsia" w:cstheme="minorEastAsia"/>
          <w:color w:val="000000"/>
          <w:sz w:val="24"/>
          <w:szCs w:val="24"/>
        </w:rPr>
        <w:t>进行 DVT 预防的 ICU 患者人数占同期 ICU 患者总人数的比例。</w:t>
      </w:r>
    </w:p>
    <w:p w14:paraId="7BB8494B">
      <w:pPr>
        <w:pStyle w:val="4"/>
        <w:spacing w:line="312" w:lineRule="auto"/>
        <w:rPr>
          <w:rFonts w:hint="eastAsia" w:asciiTheme="minorEastAsia" w:hAnsiTheme="minorEastAsia" w:eastAsiaTheme="minorEastAsia" w:cstheme="minorEastAsia"/>
          <w:sz w:val="24"/>
          <w:szCs w:val="24"/>
        </w:rPr>
      </w:pPr>
      <w:bookmarkStart w:id="7" w:name="_Toc195864875"/>
      <w:r>
        <w:rPr>
          <w:rFonts w:hint="eastAsia" w:asciiTheme="minorEastAsia" w:hAnsiTheme="minorEastAsia" w:eastAsiaTheme="minorEastAsia" w:cstheme="minorEastAsia"/>
          <w:sz w:val="24"/>
          <w:szCs w:val="24"/>
        </w:rPr>
        <w:t>指标八、中重度急性呼吸窘迫综合征（ARDS）患者俯卧位通气实施率（ICU-08）</w:t>
      </w:r>
      <w:bookmarkEnd w:id="7"/>
    </w:p>
    <w:p w14:paraId="0B009AC0">
      <w:pPr>
        <w:snapToGrid/>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定义：</w:t>
      </w:r>
      <w:r>
        <w:rPr>
          <w:rFonts w:hint="eastAsia" w:asciiTheme="minorEastAsia" w:hAnsiTheme="minorEastAsia" w:eastAsiaTheme="minorEastAsia" w:cstheme="minorEastAsia"/>
          <w:color w:val="000000"/>
          <w:sz w:val="24"/>
          <w:szCs w:val="24"/>
        </w:rPr>
        <w:t>中重度 ARDS 患者中实施俯卧位通气治疗的人数占应实施俯卧位通气治疗的中重度 ARDS 患者总人数的比例。</w:t>
      </w:r>
    </w:p>
    <w:p w14:paraId="313D635C">
      <w:pPr>
        <w:pStyle w:val="4"/>
        <w:spacing w:line="312" w:lineRule="auto"/>
        <w:rPr>
          <w:rFonts w:hint="eastAsia" w:asciiTheme="minorEastAsia" w:hAnsiTheme="minorEastAsia" w:eastAsiaTheme="minorEastAsia" w:cstheme="minorEastAsia"/>
          <w:sz w:val="24"/>
          <w:szCs w:val="24"/>
        </w:rPr>
      </w:pPr>
      <w:bookmarkStart w:id="8" w:name="_Toc195864876"/>
      <w:r>
        <w:rPr>
          <w:rFonts w:hint="eastAsia" w:asciiTheme="minorEastAsia" w:hAnsiTheme="minorEastAsia" w:eastAsiaTheme="minorEastAsia" w:cstheme="minorEastAsia"/>
          <w:sz w:val="24"/>
          <w:szCs w:val="24"/>
        </w:rPr>
        <w:t>指标九、ICU 镇痛评估率（ICU-09）</w:t>
      </w:r>
      <w:bookmarkEnd w:id="8"/>
    </w:p>
    <w:p w14:paraId="4AC90545">
      <w:pPr>
        <w:snapToGrid/>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定义：</w:t>
      </w:r>
      <w:r>
        <w:rPr>
          <w:rFonts w:hint="eastAsia" w:asciiTheme="minorEastAsia" w:hAnsiTheme="minorEastAsia" w:eastAsiaTheme="minorEastAsia" w:cstheme="minorEastAsia"/>
          <w:color w:val="000000"/>
          <w:sz w:val="24"/>
          <w:szCs w:val="24"/>
        </w:rPr>
        <w:t>进行镇痛评估的 ICU 患者人数占同期 ICU 患者总人数的比例。</w:t>
      </w:r>
    </w:p>
    <w:p w14:paraId="1CDBFD56">
      <w:pPr>
        <w:pStyle w:val="4"/>
        <w:spacing w:line="312" w:lineRule="auto"/>
        <w:rPr>
          <w:rFonts w:hint="eastAsia" w:asciiTheme="minorEastAsia" w:hAnsiTheme="minorEastAsia" w:eastAsiaTheme="minorEastAsia" w:cstheme="minorEastAsia"/>
          <w:sz w:val="24"/>
          <w:szCs w:val="24"/>
        </w:rPr>
      </w:pPr>
      <w:bookmarkStart w:id="9" w:name="_Toc195864877"/>
      <w:r>
        <w:rPr>
          <w:rFonts w:hint="eastAsia" w:asciiTheme="minorEastAsia" w:hAnsiTheme="minorEastAsia" w:eastAsiaTheme="minorEastAsia" w:cstheme="minorEastAsia"/>
          <w:sz w:val="24"/>
          <w:szCs w:val="24"/>
        </w:rPr>
        <w:t>指标十、ICU 镇静评估率（ICU-10）</w:t>
      </w:r>
      <w:bookmarkEnd w:id="9"/>
    </w:p>
    <w:p w14:paraId="792B2648">
      <w:pPr>
        <w:snapToGrid/>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定义：</w:t>
      </w:r>
      <w:r>
        <w:rPr>
          <w:rFonts w:hint="eastAsia" w:asciiTheme="minorEastAsia" w:hAnsiTheme="minorEastAsia" w:eastAsiaTheme="minorEastAsia" w:cstheme="minorEastAsia"/>
          <w:color w:val="000000"/>
          <w:sz w:val="24"/>
          <w:szCs w:val="24"/>
        </w:rPr>
        <w:t>进行镇静评估的 ICU 患者人数占同期 ICU 患者总人数的比例。</w:t>
      </w:r>
    </w:p>
    <w:p w14:paraId="076891B2">
      <w:pPr>
        <w:pStyle w:val="4"/>
        <w:spacing w:line="312" w:lineRule="auto"/>
        <w:rPr>
          <w:rFonts w:hint="eastAsia" w:asciiTheme="minorEastAsia" w:hAnsiTheme="minorEastAsia" w:eastAsiaTheme="minorEastAsia" w:cstheme="minorEastAsia"/>
          <w:sz w:val="24"/>
          <w:szCs w:val="24"/>
        </w:rPr>
      </w:pPr>
      <w:bookmarkStart w:id="10" w:name="_Toc195864878"/>
      <w:r>
        <w:rPr>
          <w:rFonts w:hint="eastAsia" w:asciiTheme="minorEastAsia" w:hAnsiTheme="minorEastAsia" w:eastAsiaTheme="minorEastAsia" w:cstheme="minorEastAsia"/>
          <w:sz w:val="24"/>
          <w:szCs w:val="24"/>
        </w:rPr>
        <w:t>指标十一、ICU 患者标化病死指数（ICU-11）</w:t>
      </w:r>
      <w:bookmarkEnd w:id="10"/>
    </w:p>
    <w:p w14:paraId="0A51CC64">
      <w:pPr>
        <w:snapToGrid/>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定义：</w:t>
      </w:r>
      <w:r>
        <w:rPr>
          <w:rFonts w:hint="eastAsia" w:asciiTheme="minorEastAsia" w:hAnsiTheme="minorEastAsia" w:eastAsiaTheme="minorEastAsia" w:cstheme="minorEastAsia"/>
          <w:color w:val="000000"/>
          <w:sz w:val="24"/>
          <w:szCs w:val="24"/>
        </w:rPr>
        <w:t>ICU 患者实际病死率与同期 ICU 患者预计病死率的比值。</w:t>
      </w:r>
    </w:p>
    <w:p w14:paraId="7F1AD385">
      <w:pPr>
        <w:pStyle w:val="4"/>
        <w:spacing w:line="312" w:lineRule="auto"/>
        <w:rPr>
          <w:rFonts w:hint="eastAsia" w:asciiTheme="minorEastAsia" w:hAnsiTheme="minorEastAsia" w:eastAsiaTheme="minorEastAsia" w:cstheme="minorEastAsia"/>
          <w:sz w:val="24"/>
          <w:szCs w:val="24"/>
        </w:rPr>
      </w:pPr>
      <w:bookmarkStart w:id="11" w:name="_Toc195864879"/>
      <w:r>
        <w:rPr>
          <w:rFonts w:hint="eastAsia" w:asciiTheme="minorEastAsia" w:hAnsiTheme="minorEastAsia" w:eastAsiaTheme="minorEastAsia" w:cstheme="minorEastAsia"/>
          <w:sz w:val="24"/>
          <w:szCs w:val="24"/>
        </w:rPr>
        <w:t>指标十二、ICU 非计划气管插管拔管率（ICU-12）</w:t>
      </w:r>
      <w:bookmarkEnd w:id="11"/>
    </w:p>
    <w:p w14:paraId="50AEA054">
      <w:pPr>
        <w:snapToGrid/>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定义：</w:t>
      </w:r>
      <w:r>
        <w:rPr>
          <w:rFonts w:hint="eastAsia" w:asciiTheme="minorEastAsia" w:hAnsiTheme="minorEastAsia" w:eastAsiaTheme="minorEastAsia" w:cstheme="minorEastAsia"/>
          <w:color w:val="000000"/>
          <w:sz w:val="24"/>
          <w:szCs w:val="24"/>
        </w:rPr>
        <w:t>ICU 患者非计划气管插管拔管例数占同期 ICU患者气管插管拔管总例数的比例。</w:t>
      </w:r>
    </w:p>
    <w:p w14:paraId="5649899C">
      <w:pPr>
        <w:pStyle w:val="4"/>
        <w:spacing w:line="312" w:lineRule="auto"/>
        <w:rPr>
          <w:rFonts w:hint="eastAsia" w:asciiTheme="minorEastAsia" w:hAnsiTheme="minorEastAsia" w:eastAsiaTheme="minorEastAsia" w:cstheme="minorEastAsia"/>
          <w:sz w:val="24"/>
          <w:szCs w:val="24"/>
        </w:rPr>
      </w:pPr>
      <w:bookmarkStart w:id="12" w:name="_Toc195864880"/>
      <w:r>
        <w:rPr>
          <w:rFonts w:hint="eastAsia" w:asciiTheme="minorEastAsia" w:hAnsiTheme="minorEastAsia" w:eastAsiaTheme="minorEastAsia" w:cstheme="minorEastAsia"/>
          <w:sz w:val="24"/>
          <w:szCs w:val="24"/>
        </w:rPr>
        <w:t>指标十三、ICU 气管插管拔管后 48h 再插管率（ICU-13）</w:t>
      </w:r>
      <w:bookmarkEnd w:id="12"/>
    </w:p>
    <w:p w14:paraId="44295BAC">
      <w:pPr>
        <w:snapToGrid/>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定义：</w:t>
      </w:r>
      <w:r>
        <w:rPr>
          <w:rFonts w:hint="eastAsia" w:asciiTheme="minorEastAsia" w:hAnsiTheme="minorEastAsia" w:eastAsiaTheme="minorEastAsia" w:cstheme="minorEastAsia"/>
          <w:color w:val="000000"/>
          <w:sz w:val="24"/>
          <w:szCs w:val="24"/>
        </w:rPr>
        <w:t>ICU 患者气管插管拔管后 48h 内再插管例数占同期 ICU 患者气管插管拔管总例数的比例。</w:t>
      </w:r>
    </w:p>
    <w:p w14:paraId="01AEB373">
      <w:pPr>
        <w:pStyle w:val="4"/>
        <w:spacing w:line="312" w:lineRule="auto"/>
        <w:rPr>
          <w:rFonts w:hint="eastAsia" w:asciiTheme="minorEastAsia" w:hAnsiTheme="minorEastAsia" w:eastAsiaTheme="minorEastAsia" w:cstheme="minorEastAsia"/>
          <w:sz w:val="24"/>
          <w:szCs w:val="24"/>
        </w:rPr>
      </w:pPr>
      <w:bookmarkStart w:id="13" w:name="_Toc195864881"/>
      <w:r>
        <w:rPr>
          <w:rFonts w:hint="eastAsia" w:asciiTheme="minorEastAsia" w:hAnsiTheme="minorEastAsia" w:eastAsiaTheme="minorEastAsia" w:cstheme="minorEastAsia"/>
          <w:sz w:val="24"/>
          <w:szCs w:val="24"/>
        </w:rPr>
        <w:t>指标十四、非计划转入 ICU 率（ICU-14）</w:t>
      </w:r>
      <w:bookmarkEnd w:id="13"/>
    </w:p>
    <w:p w14:paraId="750ABD64">
      <w:pPr>
        <w:snapToGrid/>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定义：</w:t>
      </w:r>
      <w:r>
        <w:rPr>
          <w:rFonts w:hint="eastAsia" w:asciiTheme="minorEastAsia" w:hAnsiTheme="minorEastAsia" w:eastAsiaTheme="minorEastAsia" w:cstheme="minorEastAsia"/>
          <w:color w:val="000000"/>
          <w:sz w:val="24"/>
          <w:szCs w:val="24"/>
        </w:rPr>
        <w:t>非计划转入 ICU 的手术患者人数占同期转入 ICU的手术患者总人数的比例。</w:t>
      </w:r>
    </w:p>
    <w:p w14:paraId="3810987E">
      <w:pPr>
        <w:pStyle w:val="4"/>
        <w:spacing w:line="312" w:lineRule="auto"/>
        <w:rPr>
          <w:rFonts w:hint="eastAsia" w:asciiTheme="minorEastAsia" w:hAnsiTheme="minorEastAsia" w:eastAsiaTheme="minorEastAsia" w:cstheme="minorEastAsia"/>
          <w:sz w:val="24"/>
          <w:szCs w:val="24"/>
        </w:rPr>
      </w:pPr>
      <w:bookmarkStart w:id="14" w:name="_Toc195864882"/>
      <w:r>
        <w:rPr>
          <w:rFonts w:hint="eastAsia" w:asciiTheme="minorEastAsia" w:hAnsiTheme="minorEastAsia" w:eastAsiaTheme="minorEastAsia" w:cstheme="minorEastAsia"/>
          <w:sz w:val="24"/>
          <w:szCs w:val="24"/>
        </w:rPr>
        <w:t>指标十五、转出 ICU 后 48h 内重返率（ICU-15）</w:t>
      </w:r>
      <w:bookmarkEnd w:id="14"/>
    </w:p>
    <w:p w14:paraId="0B476F9D">
      <w:pPr>
        <w:snapToGrid/>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定义：</w:t>
      </w:r>
      <w:r>
        <w:rPr>
          <w:rFonts w:hint="eastAsia" w:asciiTheme="minorEastAsia" w:hAnsiTheme="minorEastAsia" w:eastAsiaTheme="minorEastAsia" w:cstheme="minorEastAsia"/>
          <w:color w:val="000000"/>
          <w:sz w:val="24"/>
          <w:szCs w:val="24"/>
        </w:rPr>
        <w:t>转出 ICU 后 48h 内重返 ICU 的患者人数占同期转出 ICU 的患者总人数的比例。</w:t>
      </w:r>
    </w:p>
    <w:p w14:paraId="4E91821F">
      <w:pPr>
        <w:pStyle w:val="4"/>
        <w:spacing w:line="312" w:lineRule="auto"/>
        <w:rPr>
          <w:rFonts w:hint="eastAsia" w:asciiTheme="minorEastAsia" w:hAnsiTheme="minorEastAsia" w:eastAsiaTheme="minorEastAsia" w:cstheme="minorEastAsia"/>
          <w:sz w:val="24"/>
          <w:szCs w:val="24"/>
        </w:rPr>
      </w:pPr>
      <w:bookmarkStart w:id="15" w:name="_Toc195864883"/>
      <w:r>
        <w:rPr>
          <w:rFonts w:hint="eastAsia" w:asciiTheme="minorEastAsia" w:hAnsiTheme="minorEastAsia" w:eastAsiaTheme="minorEastAsia" w:cstheme="minorEastAsia"/>
          <w:sz w:val="24"/>
          <w:szCs w:val="24"/>
        </w:rPr>
        <w:t>指标十六、ICU 呼吸机相关肺炎（VAP）发病率（ICU-16）</w:t>
      </w:r>
      <w:bookmarkEnd w:id="15"/>
    </w:p>
    <w:p w14:paraId="3FAB3B8B">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sz w:val="24"/>
          <w:szCs w:val="24"/>
        </w:rPr>
        <w:t>定义：</w:t>
      </w:r>
      <w:r>
        <w:rPr>
          <w:rFonts w:hint="eastAsia" w:asciiTheme="minorEastAsia" w:hAnsiTheme="minorEastAsia" w:eastAsiaTheme="minorEastAsia" w:cstheme="minorEastAsia"/>
          <w:sz w:val="24"/>
          <w:szCs w:val="24"/>
        </w:rPr>
        <w:t>ICU 患者每 1000 个有创呼吸机使用天数中新发生相关肺炎的频次。</w:t>
      </w:r>
    </w:p>
    <w:p w14:paraId="27182774">
      <w:pPr>
        <w:pStyle w:val="4"/>
        <w:spacing w:line="312" w:lineRule="auto"/>
        <w:rPr>
          <w:rFonts w:hint="eastAsia" w:asciiTheme="minorEastAsia" w:hAnsiTheme="minorEastAsia" w:eastAsiaTheme="minorEastAsia" w:cstheme="minorEastAsia"/>
          <w:sz w:val="24"/>
          <w:szCs w:val="24"/>
        </w:rPr>
      </w:pPr>
      <w:bookmarkStart w:id="16" w:name="_Toc195864884"/>
      <w:r>
        <w:rPr>
          <w:rFonts w:hint="eastAsia" w:asciiTheme="minorEastAsia" w:hAnsiTheme="minorEastAsia" w:eastAsiaTheme="minorEastAsia" w:cstheme="minorEastAsia"/>
          <w:sz w:val="24"/>
          <w:szCs w:val="24"/>
        </w:rPr>
        <w:t>指标十七、ICU 血管导管相关血流感染（CRBSI）发病率（ICU-17）</w:t>
      </w:r>
      <w:bookmarkEnd w:id="16"/>
    </w:p>
    <w:p w14:paraId="64AE4C74">
      <w:pPr>
        <w:snapToGrid/>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定义：</w:t>
      </w:r>
      <w:r>
        <w:rPr>
          <w:rFonts w:hint="eastAsia" w:asciiTheme="minorEastAsia" w:hAnsiTheme="minorEastAsia" w:eastAsiaTheme="minorEastAsia" w:cstheme="minorEastAsia"/>
          <w:color w:val="000000"/>
          <w:sz w:val="24"/>
          <w:szCs w:val="24"/>
        </w:rPr>
        <w:t>ICU 患者每 1000 个血管导管使用天数中新发生相关血流感染的频次。</w:t>
      </w:r>
    </w:p>
    <w:p w14:paraId="598AD0A6">
      <w:pPr>
        <w:pStyle w:val="4"/>
        <w:spacing w:line="312" w:lineRule="auto"/>
        <w:rPr>
          <w:rFonts w:hint="eastAsia" w:asciiTheme="minorEastAsia" w:hAnsiTheme="minorEastAsia" w:eastAsiaTheme="minorEastAsia" w:cstheme="minorEastAsia"/>
          <w:sz w:val="24"/>
          <w:szCs w:val="24"/>
        </w:rPr>
      </w:pPr>
      <w:bookmarkStart w:id="17" w:name="_Toc195864885"/>
      <w:r>
        <w:rPr>
          <w:rFonts w:hint="eastAsia" w:asciiTheme="minorEastAsia" w:hAnsiTheme="minorEastAsia" w:eastAsiaTheme="minorEastAsia" w:cstheme="minorEastAsia"/>
          <w:sz w:val="24"/>
          <w:szCs w:val="24"/>
        </w:rPr>
        <w:t>指标十八、ICU 急性脑损伤患者意识评估率（ICU-18）</w:t>
      </w:r>
      <w:bookmarkEnd w:id="17"/>
    </w:p>
    <w:p w14:paraId="4259C100">
      <w:pPr>
        <w:snapToGrid/>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定义： </w:t>
      </w:r>
      <w:r>
        <w:rPr>
          <w:rFonts w:hint="eastAsia" w:asciiTheme="minorEastAsia" w:hAnsiTheme="minorEastAsia" w:eastAsiaTheme="minorEastAsia" w:cstheme="minorEastAsia"/>
          <w:color w:val="000000"/>
          <w:sz w:val="24"/>
          <w:szCs w:val="24"/>
        </w:rPr>
        <w:t>ICU 内完成意识评估的急性脑损伤患者人数占同期 ICU 急性脑损伤患者总人数的比例。</w:t>
      </w:r>
    </w:p>
    <w:p w14:paraId="084DF1E6">
      <w:pPr>
        <w:pStyle w:val="4"/>
        <w:spacing w:line="312" w:lineRule="auto"/>
        <w:rPr>
          <w:rFonts w:hint="eastAsia" w:asciiTheme="minorEastAsia" w:hAnsiTheme="minorEastAsia" w:eastAsiaTheme="minorEastAsia" w:cstheme="minorEastAsia"/>
          <w:sz w:val="24"/>
          <w:szCs w:val="24"/>
        </w:rPr>
      </w:pPr>
      <w:bookmarkStart w:id="18" w:name="_Toc195864886"/>
      <w:r>
        <w:rPr>
          <w:rFonts w:hint="eastAsia" w:asciiTheme="minorEastAsia" w:hAnsiTheme="minorEastAsia" w:eastAsiaTheme="minorEastAsia" w:cstheme="minorEastAsia"/>
          <w:sz w:val="24"/>
          <w:szCs w:val="24"/>
        </w:rPr>
        <w:t>指标十九、48h 内肠内营养（EN）启动率（ICU-19）</w:t>
      </w:r>
      <w:bookmarkEnd w:id="18"/>
    </w:p>
    <w:p w14:paraId="5989C9E6">
      <w:pPr>
        <w:snapToGrid/>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定义：</w:t>
      </w:r>
      <w:r>
        <w:rPr>
          <w:rFonts w:hint="eastAsia" w:asciiTheme="minorEastAsia" w:hAnsiTheme="minorEastAsia" w:eastAsiaTheme="minorEastAsia" w:cstheme="minorEastAsia"/>
          <w:color w:val="000000"/>
          <w:sz w:val="24"/>
          <w:szCs w:val="24"/>
        </w:rPr>
        <w:t>入住 ICU 超过 48h 的患者中 48h 内启动 EN 的患者人数占同期入住 ICU 超过 48h 的患者总人数的比例。</w:t>
      </w:r>
    </w:p>
    <w:p w14:paraId="2D08FA5C">
      <w:pPr>
        <w:pStyle w:val="2"/>
        <w:rPr>
          <w:rFonts w:hint="eastAsia"/>
        </w:rPr>
      </w:pPr>
      <w:bookmarkStart w:id="19" w:name="_GoBack"/>
      <w:bookmarkEnd w:id="19"/>
    </w:p>
    <w:p w14:paraId="1D53FBB7">
      <w:pPr>
        <w:rPr>
          <w:rFonts w:hint="eastAsia" w:asciiTheme="minorEastAsia" w:hAnsiTheme="minorEastAsia" w:eastAsiaTheme="minorEastAsia" w:cstheme="minorEastAsia"/>
          <w:b/>
          <w:bCs/>
          <w:color w:val="000000"/>
          <w:sz w:val="24"/>
          <w:szCs w:val="24"/>
          <w:lang w:val="en-US" w:eastAsia="zh-CN"/>
        </w:rPr>
      </w:pPr>
    </w:p>
    <w:p w14:paraId="2BFFA473">
      <w:pPr>
        <w:rPr>
          <w:rFonts w:hint="eastAsia" w:asciiTheme="minorEastAsia" w:hAnsiTheme="minorEastAsia" w:eastAsiaTheme="minorEastAsia" w:cstheme="minorEastAsia"/>
          <w:b/>
          <w:bCs/>
          <w:color w:val="000000"/>
          <w:sz w:val="24"/>
          <w:szCs w:val="24"/>
          <w:lang w:val="en-US" w:eastAsia="zh-CN"/>
        </w:rPr>
      </w:pPr>
    </w:p>
    <w:p w14:paraId="596EED39">
      <w:pPr>
        <w:rPr>
          <w:rFonts w:hint="eastAsia" w:asciiTheme="minorEastAsia" w:hAnsiTheme="minorEastAsia" w:eastAsiaTheme="minorEastAsia" w:cstheme="minorEastAsia"/>
          <w:b/>
          <w:bCs/>
          <w:color w:val="000000"/>
          <w:sz w:val="24"/>
          <w:szCs w:val="24"/>
          <w:lang w:val="en-US" w:eastAsia="zh-CN"/>
        </w:rPr>
      </w:pPr>
    </w:p>
    <w:p w14:paraId="31E5C38B">
      <w:pPr>
        <w:rPr>
          <w:rFonts w:hint="eastAsia" w:asciiTheme="minorEastAsia" w:hAnsiTheme="minorEastAsia" w:eastAsiaTheme="minorEastAsia" w:cstheme="minorEastAsia"/>
          <w:b/>
          <w:bCs/>
          <w:color w:val="000000"/>
          <w:sz w:val="24"/>
          <w:szCs w:val="24"/>
          <w:lang w:val="en-US" w:eastAsia="zh-CN"/>
        </w:rPr>
      </w:pPr>
    </w:p>
    <w:p w14:paraId="2A5CB50B">
      <w:pPr>
        <w:rPr>
          <w:rFonts w:hint="eastAsia" w:asciiTheme="minorEastAsia" w:hAnsiTheme="minorEastAsia" w:eastAsiaTheme="minorEastAsia" w:cstheme="minorEastAsia"/>
          <w:b/>
          <w:bCs/>
          <w:color w:val="000000"/>
          <w:sz w:val="24"/>
          <w:szCs w:val="24"/>
          <w:lang w:val="en-US" w:eastAsia="zh-CN"/>
        </w:rPr>
      </w:pPr>
    </w:p>
    <w:p w14:paraId="21CC5FBE">
      <w:pPr>
        <w:rPr>
          <w:rFonts w:hint="eastAsia" w:asciiTheme="minorEastAsia" w:hAnsiTheme="minorEastAsia" w:eastAsiaTheme="minorEastAsia" w:cstheme="minorEastAsia"/>
          <w:b/>
          <w:bCs/>
          <w:color w:val="000000"/>
          <w:sz w:val="24"/>
          <w:szCs w:val="24"/>
          <w:lang w:val="en-US" w:eastAsia="zh-CN"/>
        </w:rPr>
      </w:pPr>
    </w:p>
    <w:p w14:paraId="599B50A2">
      <w:pPr>
        <w:rPr>
          <w:rFonts w:hint="eastAsia" w:asciiTheme="minorEastAsia" w:hAnsiTheme="minorEastAsia" w:eastAsiaTheme="minorEastAsia" w:cstheme="minorEastAsia"/>
          <w:b/>
          <w:bCs/>
          <w:color w:val="000000"/>
          <w:sz w:val="24"/>
          <w:szCs w:val="24"/>
          <w:lang w:val="en-US" w:eastAsia="zh-CN"/>
        </w:rPr>
      </w:pPr>
    </w:p>
    <w:p w14:paraId="424E1A8E">
      <w:pPr>
        <w:rPr>
          <w:rFonts w:hint="eastAsia" w:asciiTheme="minorEastAsia" w:hAnsiTheme="minorEastAsia" w:eastAsiaTheme="minorEastAsia" w:cstheme="minorEastAsia"/>
          <w:b/>
          <w:bCs/>
          <w:color w:val="000000"/>
          <w:sz w:val="24"/>
          <w:szCs w:val="24"/>
          <w:lang w:val="en-US" w:eastAsia="zh-CN"/>
        </w:rPr>
      </w:pPr>
    </w:p>
    <w:p w14:paraId="1187E0EC">
      <w:pPr>
        <w:rPr>
          <w:rFonts w:hint="eastAsia" w:asciiTheme="minorEastAsia" w:hAnsiTheme="minorEastAsia" w:eastAsiaTheme="minorEastAsia" w:cstheme="minorEastAsia"/>
          <w:b/>
          <w:bCs/>
          <w:color w:val="000000"/>
          <w:sz w:val="24"/>
          <w:szCs w:val="24"/>
          <w:lang w:val="en-US" w:eastAsia="zh-CN"/>
        </w:rPr>
      </w:pPr>
    </w:p>
    <w:p w14:paraId="503E0E7F">
      <w:pPr>
        <w:rPr>
          <w:rFonts w:hint="eastAsia" w:asciiTheme="minorEastAsia" w:hAnsiTheme="minorEastAsia" w:eastAsiaTheme="minorEastAsia" w:cstheme="minorEastAsia"/>
          <w:b/>
          <w:bCs/>
          <w:color w:val="000000"/>
          <w:sz w:val="24"/>
          <w:szCs w:val="24"/>
          <w:lang w:val="en-US" w:eastAsia="zh-CN"/>
        </w:rPr>
      </w:pPr>
    </w:p>
    <w:p w14:paraId="26532F17">
      <w:pPr>
        <w:rPr>
          <w:rFonts w:hint="eastAsia" w:asciiTheme="minorEastAsia" w:hAnsiTheme="minorEastAsia" w:eastAsiaTheme="minorEastAsia" w:cstheme="minorEastAsia"/>
          <w:b/>
          <w:bCs/>
          <w:color w:val="000000"/>
          <w:sz w:val="24"/>
          <w:szCs w:val="24"/>
          <w:lang w:val="en-US" w:eastAsia="zh-CN"/>
        </w:rPr>
      </w:pPr>
    </w:p>
    <w:p w14:paraId="247309CE">
      <w:pPr>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重症系统与移动护理对接：</w:t>
      </w:r>
    </w:p>
    <w:p w14:paraId="31FD1691">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1、移动护理系统获取重症系统指定时间点体征信息到护理系统三测单</w:t>
      </w:r>
    </w:p>
    <w:p w14:paraId="0D69ED00">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2、MEWS评分自动填入</w:t>
      </w:r>
    </w:p>
    <w:p w14:paraId="7EC1AEC7">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3、重症护理记录单对接（出入量）</w:t>
      </w:r>
    </w:p>
    <w:p w14:paraId="778A23B9">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4、移动护理上扫码的输液入量对接到重症系统</w:t>
      </w:r>
    </w:p>
    <w:p w14:paraId="2D0067B4">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5、重症系统上疼痛评分和出入量总量统计数，各种引流量对接到移动护理三测单</w:t>
      </w:r>
    </w:p>
    <w:p w14:paraId="486A6E0C">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6、重症系统上Mews评分对接到移动护理入院评估单</w:t>
      </w:r>
    </w:p>
    <w:p w14:paraId="320F2B99">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7、重症系统的生命体征传到移动护理三测单</w:t>
      </w:r>
    </w:p>
    <w:p w14:paraId="74E68977">
      <w:pPr>
        <w:rPr>
          <w:rFonts w:hint="eastAsia" w:asciiTheme="minorEastAsia" w:hAnsiTheme="minorEastAsia" w:eastAsiaTheme="minorEastAsia" w:cstheme="minorEastAsia"/>
          <w:color w:val="000000"/>
          <w:sz w:val="24"/>
          <w:szCs w:val="24"/>
          <w:lang w:eastAsia="zh-CN"/>
        </w:rPr>
      </w:pPr>
    </w:p>
    <w:sectPr>
      <w:pgSz w:w="11906" w:h="16838"/>
      <w:pgMar w:top="1361" w:right="1417" w:bottom="1361" w:left="1417" w:header="712" w:footer="8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orHAns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orEastAsia">
    <w:altName w:val="宋体"/>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ZWNlN2UwY2UyMGVmZjU1YmI2NTYzZTFhM2RmMGYifQ=="/>
  </w:docVars>
  <w:rsids>
    <w:rsidRoot w:val="00065F76"/>
    <w:rsid w:val="00016BF2"/>
    <w:rsid w:val="00065F76"/>
    <w:rsid w:val="00247215"/>
    <w:rsid w:val="003235AF"/>
    <w:rsid w:val="006C0515"/>
    <w:rsid w:val="00714FA6"/>
    <w:rsid w:val="00751025"/>
    <w:rsid w:val="009C6988"/>
    <w:rsid w:val="00A47177"/>
    <w:rsid w:val="00FA5AC0"/>
    <w:rsid w:val="194C1B3B"/>
    <w:rsid w:val="20D764CE"/>
    <w:rsid w:val="3FAC35A5"/>
    <w:rsid w:val="43EA70F9"/>
    <w:rsid w:val="5605119B"/>
    <w:rsid w:val="65AF0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before="60" w:after="60" w:line="312" w:lineRule="auto"/>
    </w:pPr>
    <w:rPr>
      <w:rFonts w:ascii="minorHAnsi" w:hAnsi="minorHAnsi" w:eastAsia="minorEastAsia" w:cstheme="minorBidi"/>
      <w:color w:val="333333"/>
      <w:kern w:val="2"/>
      <w:sz w:val="22"/>
      <w:szCs w:val="22"/>
      <w:lang w:val="en-US" w:eastAsia="zh-CN" w:bidi="ar-SA"/>
    </w:rPr>
  </w:style>
  <w:style w:type="paragraph" w:styleId="4">
    <w:name w:val="heading 1"/>
    <w:basedOn w:val="1"/>
    <w:next w:val="1"/>
    <w:link w:val="17"/>
    <w:qFormat/>
    <w:uiPriority w:val="9"/>
    <w:pPr>
      <w:keepNext/>
      <w:keepLines/>
      <w:spacing w:before="0" w:after="0" w:line="408" w:lineRule="auto"/>
      <w:outlineLvl w:val="0"/>
    </w:pPr>
    <w:rPr>
      <w:b/>
      <w:bCs/>
      <w:color w:val="1A1A1A"/>
      <w:sz w:val="36"/>
      <w:szCs w:val="36"/>
    </w:rPr>
  </w:style>
  <w:style w:type="paragraph" w:styleId="5">
    <w:name w:val="heading 2"/>
    <w:basedOn w:val="1"/>
    <w:next w:val="1"/>
    <w:qFormat/>
    <w:uiPriority w:val="9"/>
    <w:pPr>
      <w:keepNext/>
      <w:keepLines/>
      <w:spacing w:before="0" w:after="0" w:line="408" w:lineRule="auto"/>
      <w:outlineLvl w:val="1"/>
    </w:pPr>
    <w:rPr>
      <w:b/>
      <w:bCs/>
      <w:color w:val="1A1A1A"/>
      <w:sz w:val="32"/>
      <w:szCs w:val="32"/>
    </w:rPr>
  </w:style>
  <w:style w:type="paragraph" w:styleId="6">
    <w:name w:val="heading 3"/>
    <w:basedOn w:val="1"/>
    <w:next w:val="1"/>
    <w:qFormat/>
    <w:uiPriority w:val="9"/>
    <w:pPr>
      <w:keepNext/>
      <w:keepLines/>
      <w:spacing w:before="0" w:after="0" w:line="408" w:lineRule="auto"/>
      <w:outlineLvl w:val="2"/>
    </w:pPr>
    <w:rPr>
      <w:b/>
      <w:bCs/>
      <w:color w:val="1A1A1A"/>
      <w:sz w:val="28"/>
      <w:szCs w:val="28"/>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30"/>
    </w:rPr>
  </w:style>
  <w:style w:type="paragraph" w:customStyle="1" w:styleId="3">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7">
    <w:name w:val="toc 3"/>
    <w:basedOn w:val="1"/>
    <w:next w:val="1"/>
    <w:autoRedefine/>
    <w:qFormat/>
    <w:uiPriority w:val="39"/>
    <w:pPr>
      <w:ind w:left="840" w:leftChars="400"/>
    </w:pPr>
  </w:style>
  <w:style w:type="paragraph" w:styleId="8">
    <w:name w:val="toc 1"/>
    <w:basedOn w:val="1"/>
    <w:next w:val="1"/>
    <w:autoRedefine/>
    <w:qFormat/>
    <w:uiPriority w:val="39"/>
  </w:style>
  <w:style w:type="paragraph" w:styleId="9">
    <w:name w:val="Normal (Web)"/>
    <w:basedOn w:val="1"/>
    <w:qFormat/>
    <w:uiPriority w:val="0"/>
    <w:rPr>
      <w:sz w:val="24"/>
    </w:rPr>
  </w:style>
  <w:style w:type="paragraph" w:styleId="10">
    <w:name w:val="Title"/>
    <w:basedOn w:val="1"/>
    <w:next w:val="1"/>
    <w:qFormat/>
    <w:uiPriority w:val="9"/>
    <w:pPr>
      <w:keepNext/>
      <w:keepLines/>
      <w:spacing w:before="0" w:after="0" w:line="408" w:lineRule="auto"/>
      <w:jc w:val="center"/>
      <w:outlineLvl w:val="0"/>
    </w:pPr>
    <w:rPr>
      <w:b/>
      <w:bCs/>
      <w:color w:val="1A1A1A"/>
      <w:sz w:val="48"/>
      <w:szCs w:val="48"/>
    </w:rPr>
  </w:style>
  <w:style w:type="table" w:styleId="12">
    <w:name w:val="Table Grid"/>
    <w:basedOn w:val="11"/>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paragraph" w:styleId="15">
    <w:name w:val="List Paragraph"/>
    <w:qFormat/>
    <w:uiPriority w:val="34"/>
    <w:pPr>
      <w:widowControl w:val="0"/>
      <w:snapToGrid w:val="0"/>
      <w:spacing w:before="60" w:after="60" w:line="312" w:lineRule="auto"/>
      <w:ind w:firstLine="420" w:firstLineChars="200"/>
      <w:jc w:val="both"/>
    </w:pPr>
    <w:rPr>
      <w:rFonts w:asciiTheme="minorHAnsi" w:hAnsiTheme="minorHAnsi" w:eastAsiaTheme="minorEastAsia" w:cstheme="minorBidi"/>
      <w:color w:val="333333"/>
      <w:kern w:val="2"/>
      <w:sz w:val="21"/>
      <w:szCs w:val="22"/>
      <w:lang w:val="en-US" w:eastAsia="zh-CN" w:bidi="ar-SA"/>
    </w:rPr>
  </w:style>
  <w:style w:type="paragraph" w:customStyle="1" w:styleId="16">
    <w:name w:val="WPSOffice手动目录 1"/>
    <w:qFormat/>
    <w:uiPriority w:val="0"/>
    <w:rPr>
      <w:rFonts w:ascii="minorHAnsi" w:hAnsi="minorHAnsi" w:eastAsia="minorEastAsia" w:cstheme="minorBidi"/>
      <w:lang w:val="en-US" w:eastAsia="zh-CN" w:bidi="ar-SA"/>
    </w:rPr>
  </w:style>
  <w:style w:type="character" w:customStyle="1" w:styleId="17">
    <w:name w:val="标题 1 字符"/>
    <w:link w:val="4"/>
    <w:autoRedefine/>
    <w:qFormat/>
    <w:uiPriority w:val="0"/>
    <w:rPr>
      <w:b/>
      <w:bCs/>
      <w:color w:val="1A1A1A"/>
      <w:sz w:val="36"/>
      <w:szCs w:val="36"/>
    </w:rPr>
  </w:style>
  <w:style w:type="paragraph" w:customStyle="1" w:styleId="18">
    <w:name w:val="TOC Heading"/>
    <w:basedOn w:val="4"/>
    <w:next w:val="1"/>
    <w:unhideWhenUsed/>
    <w:qFormat/>
    <w:uiPriority w:val="39"/>
    <w:pPr>
      <w:widowControl/>
      <w:snapToGrid/>
      <w:spacing w:before="240" w:line="259" w:lineRule="auto"/>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9">
    <w:name w:val="font21"/>
    <w:basedOn w:val="13"/>
    <w:qFormat/>
    <w:uiPriority w:val="0"/>
    <w:rPr>
      <w:rFonts w:hint="default" w:ascii="Calibri" w:hAnsi="Calibri" w:cs="Calibri"/>
      <w:color w:val="000000"/>
      <w:sz w:val="22"/>
      <w:szCs w:val="22"/>
      <w:u w:val="none"/>
    </w:rPr>
  </w:style>
  <w:style w:type="character" w:customStyle="1" w:styleId="20">
    <w:name w:val="font0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1177</Words>
  <Characters>1443</Characters>
  <Lines>101</Lines>
  <Paragraphs>28</Paragraphs>
  <TotalTime>11</TotalTime>
  <ScaleCrop>false</ScaleCrop>
  <LinksUpToDate>false</LinksUpToDate>
  <CharactersWithSpaces>1549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2024-09-27T15:25:00Z</dcterms:created>
  <dc:creator>admin</dc:creator>
  <cp:lastModifiedBy>ljm</cp:lastModifiedBy>
  <cp:lastPrinted>2025-05-21T00:51:00Z</cp:lastPrinted>
  <dcterms:modified xsi:type="dcterms:W3CDTF">2025-05-21T00:51:08Z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91DCF6FD003A44A697AF00CC4F005B2A_13</vt:lpwstr>
  </property>
  <property fmtid="{D5CDD505-2E9C-101B-9397-08002B2CF9AE}" pid="4" name="KSOTemplateDocerSaveRecord">
    <vt:lpwstr>eyJoZGlkIjoiOWViYTQ1YzJkZGM5YzEyMThiNWU0MmM1NzQyZGZhY2MiLCJ1c2VySWQiOiI0MTk5MTY5NjcifQ==</vt:lpwstr>
  </property>
</Properties>
</file>